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2835"/>
        <w:gridCol w:w="3711"/>
        <w:gridCol w:w="1959"/>
      </w:tblGrid>
      <w:tr w:rsidR="00D57801" w:rsidRPr="00745360" w14:paraId="3E906EB5" w14:textId="77777777" w:rsidTr="0082602C">
        <w:trPr>
          <w:jc w:val="center"/>
        </w:trPr>
        <w:tc>
          <w:tcPr>
            <w:tcW w:w="2835" w:type="dxa"/>
          </w:tcPr>
          <w:p w14:paraId="04806152" w14:textId="6E30B83C" w:rsidR="00D108BD" w:rsidRPr="00745360" w:rsidRDefault="00D108BD" w:rsidP="00BD13F0">
            <w:pPr>
              <w:jc w:val="both"/>
              <w:outlineLvl w:val="0"/>
              <w:rPr>
                <w:rFonts w:asciiTheme="majorHAnsi" w:hAnsiTheme="majorHAnsi"/>
                <w:color w:val="000000" w:themeColor="text1"/>
                <w:sz w:val="20"/>
                <w:szCs w:val="20"/>
              </w:rPr>
            </w:pPr>
            <w:proofErr w:type="spellStart"/>
            <w:r w:rsidRPr="00745360">
              <w:rPr>
                <w:rFonts w:asciiTheme="majorHAnsi" w:hAnsiTheme="majorHAnsi"/>
                <w:color w:val="000000" w:themeColor="text1"/>
                <w:sz w:val="20"/>
                <w:szCs w:val="20"/>
              </w:rPr>
              <w:t>Trunojoyo</w:t>
            </w:r>
            <w:proofErr w:type="spellEnd"/>
            <w:r w:rsidRPr="00745360">
              <w:rPr>
                <w:rFonts w:asciiTheme="majorHAnsi" w:hAnsiTheme="majorHAnsi"/>
                <w:color w:val="000000" w:themeColor="text1"/>
                <w:sz w:val="20"/>
                <w:szCs w:val="20"/>
              </w:rPr>
              <w:t xml:space="preserve"> Law Review (TLR)</w:t>
            </w:r>
            <w:r w:rsidRPr="00745360">
              <w:rPr>
                <w:rFonts w:asciiTheme="majorHAnsi" w:hAnsiTheme="majorHAnsi"/>
                <w:color w:val="000000" w:themeColor="text1"/>
                <w:sz w:val="20"/>
                <w:szCs w:val="20"/>
              </w:rPr>
              <w:br/>
            </w:r>
            <w:r w:rsidR="00280707" w:rsidRPr="00745360">
              <w:rPr>
                <w:rFonts w:asciiTheme="majorHAnsi" w:hAnsiTheme="majorHAnsi"/>
                <w:color w:val="000000" w:themeColor="text1"/>
                <w:lang w:val="en"/>
              </w:rPr>
              <w:t>August</w:t>
            </w:r>
            <w:r w:rsidR="00E63B5D" w:rsidRPr="00745360">
              <w:rPr>
                <w:rFonts w:asciiTheme="majorHAnsi" w:hAnsiTheme="majorHAnsi"/>
                <w:color w:val="000000" w:themeColor="text1"/>
                <w:sz w:val="20"/>
                <w:szCs w:val="20"/>
              </w:rPr>
              <w:t xml:space="preserve"> 202</w:t>
            </w:r>
            <w:r w:rsidR="005347C8" w:rsidRPr="00745360">
              <w:rPr>
                <w:rFonts w:asciiTheme="majorHAnsi" w:hAnsiTheme="majorHAnsi"/>
                <w:color w:val="000000" w:themeColor="text1"/>
                <w:sz w:val="20"/>
                <w:szCs w:val="20"/>
              </w:rPr>
              <w:t>1</w:t>
            </w:r>
          </w:p>
          <w:p w14:paraId="4C223445" w14:textId="77777777" w:rsidR="008564F6" w:rsidRPr="00745360" w:rsidRDefault="00280707" w:rsidP="00BD13F0">
            <w:pPr>
              <w:ind w:right="600"/>
              <w:jc w:val="both"/>
              <w:outlineLvl w:val="0"/>
              <w:rPr>
                <w:rFonts w:asciiTheme="majorHAnsi" w:eastAsia="Times New Roman" w:hAnsiTheme="majorHAnsi" w:cs="Times New Roman"/>
                <w:b/>
                <w:bCs/>
                <w:color w:val="000000" w:themeColor="text1"/>
                <w:kern w:val="36"/>
                <w:sz w:val="20"/>
                <w:szCs w:val="20"/>
              </w:rPr>
            </w:pPr>
            <w:r w:rsidRPr="00745360">
              <w:rPr>
                <w:rFonts w:asciiTheme="majorHAnsi" w:hAnsiTheme="majorHAnsi"/>
                <w:color w:val="000000" w:themeColor="text1"/>
                <w:sz w:val="20"/>
                <w:szCs w:val="20"/>
              </w:rPr>
              <w:t>Volume 5 Number 2</w:t>
            </w:r>
          </w:p>
        </w:tc>
        <w:tc>
          <w:tcPr>
            <w:tcW w:w="3711" w:type="dxa"/>
          </w:tcPr>
          <w:p w14:paraId="573C1EB8" w14:textId="77777777" w:rsidR="000834B8" w:rsidRPr="00745360" w:rsidRDefault="007E1CA1" w:rsidP="007E1CA1">
            <w:pPr>
              <w:jc w:val="center"/>
              <w:outlineLvl w:val="0"/>
              <w:rPr>
                <w:rFonts w:asciiTheme="majorHAnsi" w:hAnsiTheme="majorHAnsi"/>
                <w:color w:val="000000" w:themeColor="text1"/>
                <w:sz w:val="20"/>
                <w:szCs w:val="20"/>
              </w:rPr>
            </w:pPr>
            <w:r w:rsidRPr="00745360">
              <w:rPr>
                <w:rFonts w:asciiTheme="majorHAnsi" w:hAnsiTheme="majorHAnsi" w:cs="Tahoma"/>
                <w:color w:val="000000" w:themeColor="text1"/>
                <w:sz w:val="20"/>
                <w:szCs w:val="20"/>
                <w:shd w:val="clear" w:color="auto" w:fill="FFFFFF"/>
              </w:rPr>
              <w:t>Title describes the problems expressed which written shortly, concisely and clearly, not more than 14 words, Center Text, Cambria1, 10 size - font,</w:t>
            </w:r>
          </w:p>
        </w:tc>
        <w:tc>
          <w:tcPr>
            <w:tcW w:w="1959" w:type="dxa"/>
          </w:tcPr>
          <w:p w14:paraId="38736903" w14:textId="77777777" w:rsidR="008564F6" w:rsidRPr="00745360" w:rsidRDefault="00D108BD" w:rsidP="00BD13F0">
            <w:pPr>
              <w:ind w:right="4"/>
              <w:jc w:val="right"/>
              <w:outlineLvl w:val="0"/>
              <w:rPr>
                <w:rFonts w:asciiTheme="majorHAnsi" w:eastAsia="Times New Roman" w:hAnsiTheme="majorHAnsi" w:cs="Times New Roman"/>
                <w:b/>
                <w:bCs/>
                <w:color w:val="000000" w:themeColor="text1"/>
                <w:kern w:val="36"/>
                <w:sz w:val="20"/>
                <w:szCs w:val="20"/>
              </w:rPr>
            </w:pPr>
            <w:r w:rsidRPr="00745360">
              <w:rPr>
                <w:rFonts w:asciiTheme="majorHAnsi" w:hAnsiTheme="majorHAnsi"/>
                <w:color w:val="000000" w:themeColor="text1"/>
                <w:sz w:val="20"/>
                <w:szCs w:val="20"/>
              </w:rPr>
              <w:t>E-ISSN: 2715-2081</w:t>
            </w:r>
            <w:r w:rsidRPr="00745360">
              <w:rPr>
                <w:rFonts w:asciiTheme="majorHAnsi" w:hAnsiTheme="majorHAnsi"/>
                <w:color w:val="000000" w:themeColor="text1"/>
                <w:sz w:val="20"/>
                <w:szCs w:val="20"/>
              </w:rPr>
              <w:br/>
              <w:t>P-ISSN: 2686-1496</w:t>
            </w:r>
          </w:p>
        </w:tc>
      </w:tr>
    </w:tbl>
    <w:p w14:paraId="45F3EEB2" w14:textId="77777777" w:rsidR="00F04922" w:rsidRPr="00745360" w:rsidRDefault="00F04922"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p>
    <w:p w14:paraId="3A18ED71" w14:textId="77777777" w:rsidR="003374F0" w:rsidRPr="00745360" w:rsidRDefault="003374F0"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p>
    <w:p w14:paraId="1FD84EB8" w14:textId="44DE7F91" w:rsidR="00CF4DC5" w:rsidRDefault="00D97DC8"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r w:rsidRPr="00D97DC8">
        <w:rPr>
          <w:rFonts w:asciiTheme="majorHAnsi" w:eastAsia="Times New Roman" w:hAnsiTheme="majorHAnsi" w:cs="Times New Roman"/>
          <w:b/>
          <w:bCs/>
          <w:color w:val="000000" w:themeColor="text1"/>
          <w:kern w:val="36"/>
          <w:sz w:val="24"/>
          <w:szCs w:val="24"/>
        </w:rPr>
        <w:t>Harmonization of Customary Law and Investment Policy in Indigenous Natural Resource Governance</w:t>
      </w:r>
    </w:p>
    <w:p w14:paraId="2F25DFC0" w14:textId="77777777" w:rsidR="00D97DC8" w:rsidRPr="00745360" w:rsidRDefault="00D97DC8" w:rsidP="00BD13F0">
      <w:pPr>
        <w:spacing w:after="0" w:line="240" w:lineRule="auto"/>
        <w:ind w:right="4"/>
        <w:jc w:val="center"/>
        <w:outlineLvl w:val="0"/>
        <w:rPr>
          <w:rFonts w:asciiTheme="majorHAnsi" w:eastAsia="Times New Roman" w:hAnsiTheme="majorHAnsi" w:cs="Times New Roman"/>
          <w:b/>
          <w:bCs/>
          <w:color w:val="000000" w:themeColor="text1"/>
          <w:kern w:val="36"/>
          <w:sz w:val="24"/>
          <w:szCs w:val="24"/>
        </w:rPr>
      </w:pPr>
    </w:p>
    <w:p w14:paraId="50A941D8" w14:textId="39615FB2" w:rsidR="00F04922" w:rsidRPr="00A553FB" w:rsidRDefault="00D8246A" w:rsidP="00BD13F0">
      <w:pPr>
        <w:spacing w:after="0" w:line="240" w:lineRule="auto"/>
        <w:jc w:val="center"/>
        <w:rPr>
          <w:rFonts w:asciiTheme="majorHAnsi" w:hAnsiTheme="majorHAnsi"/>
          <w:b/>
          <w:bCs/>
          <w:color w:val="000000" w:themeColor="text1"/>
          <w:sz w:val="24"/>
          <w:szCs w:val="24"/>
          <w:lang w:val="fi-FI"/>
        </w:rPr>
      </w:pPr>
      <w:r w:rsidRPr="00745360">
        <w:rPr>
          <w:rFonts w:asciiTheme="majorHAnsi" w:hAnsiTheme="majorHAnsi"/>
          <w:b/>
          <w:bCs/>
          <w:color w:val="000000" w:themeColor="text1"/>
          <w:sz w:val="24"/>
          <w:szCs w:val="24"/>
          <w:lang w:val="fi-FI"/>
        </w:rPr>
        <w:t>Pahlefi</w:t>
      </w:r>
      <w:r w:rsidR="004D5FBE" w:rsidRPr="00745360">
        <w:rPr>
          <w:rFonts w:asciiTheme="majorHAnsi" w:hAnsiTheme="majorHAnsi"/>
          <w:b/>
          <w:bCs/>
          <w:color w:val="000000" w:themeColor="text1"/>
          <w:sz w:val="24"/>
          <w:szCs w:val="24"/>
          <w:vertAlign w:val="superscript"/>
          <w:lang w:val="fi-FI"/>
        </w:rPr>
        <w:t>1</w:t>
      </w:r>
      <w:r w:rsidR="002413FA" w:rsidRPr="00745360">
        <w:rPr>
          <w:rFonts w:asciiTheme="majorHAnsi" w:hAnsiTheme="majorHAnsi"/>
          <w:b/>
          <w:bCs/>
          <w:color w:val="000000" w:themeColor="text1"/>
          <w:sz w:val="24"/>
          <w:szCs w:val="24"/>
          <w:lang w:val="fi-FI"/>
        </w:rPr>
        <w:t xml:space="preserve">, </w:t>
      </w:r>
      <w:r w:rsidRPr="00745360">
        <w:rPr>
          <w:rFonts w:asciiTheme="majorHAnsi" w:hAnsiTheme="majorHAnsi"/>
          <w:b/>
          <w:bCs/>
          <w:color w:val="000000" w:themeColor="text1"/>
          <w:sz w:val="24"/>
          <w:szCs w:val="24"/>
          <w:lang w:val="fi-FI"/>
        </w:rPr>
        <w:t>Eko Nuriyatman</w:t>
      </w:r>
      <w:r w:rsidR="00A553FB">
        <w:rPr>
          <w:rFonts w:asciiTheme="majorHAnsi" w:hAnsiTheme="majorHAnsi"/>
          <w:b/>
          <w:bCs/>
          <w:color w:val="000000" w:themeColor="text1"/>
          <w:sz w:val="24"/>
          <w:szCs w:val="24"/>
          <w:lang w:val="fi-FI"/>
        </w:rPr>
        <w:t>,</w:t>
      </w:r>
      <w:r w:rsidR="004D5FBE" w:rsidRPr="00745360">
        <w:rPr>
          <w:rFonts w:asciiTheme="majorHAnsi" w:hAnsiTheme="majorHAnsi"/>
          <w:b/>
          <w:bCs/>
          <w:color w:val="000000" w:themeColor="text1"/>
          <w:sz w:val="24"/>
          <w:szCs w:val="24"/>
          <w:vertAlign w:val="superscript"/>
          <w:lang w:val="fi-FI"/>
        </w:rPr>
        <w:t>2</w:t>
      </w:r>
      <w:r w:rsidR="00A553FB">
        <w:rPr>
          <w:rFonts w:asciiTheme="majorHAnsi" w:hAnsiTheme="majorHAnsi"/>
          <w:b/>
          <w:bCs/>
          <w:color w:val="000000" w:themeColor="text1"/>
          <w:sz w:val="24"/>
          <w:szCs w:val="24"/>
          <w:vertAlign w:val="superscript"/>
          <w:lang w:val="fi-FI"/>
        </w:rPr>
        <w:t xml:space="preserve"> </w:t>
      </w:r>
      <w:r w:rsidR="00A553FB">
        <w:rPr>
          <w:rFonts w:asciiTheme="majorHAnsi" w:hAnsiTheme="majorHAnsi"/>
          <w:b/>
          <w:bCs/>
          <w:color w:val="000000" w:themeColor="text1"/>
          <w:sz w:val="24"/>
          <w:szCs w:val="24"/>
          <w:lang w:val="fi-FI"/>
        </w:rPr>
        <w:t>Lili Naili Hidayah</w:t>
      </w:r>
      <w:r w:rsidR="00A553FB" w:rsidRPr="00A553FB">
        <w:rPr>
          <w:rFonts w:asciiTheme="majorHAnsi" w:hAnsiTheme="majorHAnsi"/>
          <w:b/>
          <w:bCs/>
          <w:color w:val="000000" w:themeColor="text1"/>
          <w:sz w:val="24"/>
          <w:szCs w:val="24"/>
          <w:vertAlign w:val="superscript"/>
          <w:lang w:val="fi-FI"/>
        </w:rPr>
        <w:t>3</w:t>
      </w:r>
    </w:p>
    <w:p w14:paraId="7D26A1CB" w14:textId="293D5F53" w:rsidR="00F04922" w:rsidRPr="00745360" w:rsidRDefault="004D5FBE" w:rsidP="00BD13F0">
      <w:pPr>
        <w:spacing w:after="0" w:line="240" w:lineRule="auto"/>
        <w:jc w:val="center"/>
        <w:rPr>
          <w:rFonts w:asciiTheme="majorHAnsi" w:hAnsiTheme="majorHAnsi" w:cs="Times New Roman"/>
          <w:i/>
          <w:iCs/>
          <w:color w:val="000000" w:themeColor="text1"/>
          <w:sz w:val="24"/>
          <w:szCs w:val="24"/>
        </w:rPr>
      </w:pPr>
      <w:r w:rsidRPr="00745360">
        <w:rPr>
          <w:rFonts w:asciiTheme="majorHAnsi" w:hAnsiTheme="majorHAnsi"/>
          <w:bCs/>
          <w:color w:val="000000" w:themeColor="text1"/>
          <w:sz w:val="24"/>
          <w:szCs w:val="24"/>
          <w:vertAlign w:val="superscript"/>
          <w:lang w:val="fi-FI"/>
        </w:rPr>
        <w:t>1,2</w:t>
      </w:r>
      <w:r w:rsidR="00D8246A" w:rsidRPr="00745360">
        <w:rPr>
          <w:rFonts w:asciiTheme="majorHAnsi" w:hAnsiTheme="majorHAnsi"/>
          <w:i/>
          <w:iCs/>
          <w:color w:val="000000" w:themeColor="text1"/>
          <w:sz w:val="24"/>
          <w:szCs w:val="24"/>
        </w:rPr>
        <w:t xml:space="preserve">Faculty of Law, </w:t>
      </w:r>
      <w:r w:rsidR="00D8246A" w:rsidRPr="00745360">
        <w:rPr>
          <w:rFonts w:asciiTheme="majorHAnsi" w:hAnsiTheme="majorHAnsi"/>
          <w:color w:val="000000" w:themeColor="text1"/>
          <w:sz w:val="24"/>
          <w:szCs w:val="24"/>
        </w:rPr>
        <w:t>Universitas Jambi</w:t>
      </w:r>
      <w:r w:rsidR="00160643" w:rsidRPr="00745360">
        <w:rPr>
          <w:rFonts w:asciiTheme="majorHAnsi" w:hAnsiTheme="majorHAnsi"/>
          <w:color w:val="000000" w:themeColor="text1"/>
          <w:sz w:val="24"/>
          <w:szCs w:val="24"/>
        </w:rPr>
        <w:t>, Indonesia</w:t>
      </w:r>
    </w:p>
    <w:p w14:paraId="4E19ED72" w14:textId="608B34B7" w:rsidR="00F04922" w:rsidRPr="00745360" w:rsidRDefault="004D5FBE" w:rsidP="00BD13F0">
      <w:pPr>
        <w:spacing w:after="0" w:line="240" w:lineRule="auto"/>
        <w:jc w:val="center"/>
        <w:rPr>
          <w:rFonts w:asciiTheme="majorHAnsi" w:hAnsiTheme="majorHAnsi"/>
          <w:color w:val="000000" w:themeColor="text1"/>
          <w:sz w:val="24"/>
          <w:szCs w:val="24"/>
        </w:rPr>
      </w:pPr>
      <w:r w:rsidRPr="00745360">
        <w:rPr>
          <w:rFonts w:asciiTheme="majorHAnsi" w:hAnsiTheme="majorHAnsi"/>
          <w:bCs/>
          <w:color w:val="000000" w:themeColor="text1"/>
          <w:sz w:val="24"/>
          <w:szCs w:val="24"/>
          <w:vertAlign w:val="superscript"/>
          <w:lang w:val="fi-FI"/>
        </w:rPr>
        <w:t>1</w:t>
      </w:r>
      <w:r w:rsidR="00D8246A" w:rsidRPr="00745360">
        <w:rPr>
          <w:rFonts w:asciiTheme="majorHAnsi" w:hAnsiTheme="majorHAnsi"/>
          <w:color w:val="000000" w:themeColor="text1"/>
          <w:sz w:val="24"/>
          <w:szCs w:val="24"/>
        </w:rPr>
        <w:t>pahlefi@unja.ac.id</w:t>
      </w:r>
    </w:p>
    <w:p w14:paraId="5304CF7E" w14:textId="545B05AA" w:rsidR="00D8246A" w:rsidRDefault="00D8246A" w:rsidP="00BD13F0">
      <w:pPr>
        <w:spacing w:after="0" w:line="240" w:lineRule="auto"/>
        <w:jc w:val="center"/>
        <w:rPr>
          <w:rFonts w:asciiTheme="majorHAnsi" w:hAnsiTheme="majorHAnsi" w:cstheme="majorBidi"/>
          <w:color w:val="000000" w:themeColor="text1"/>
          <w:sz w:val="24"/>
          <w:szCs w:val="24"/>
          <w:lang w:val="id-ID"/>
        </w:rPr>
      </w:pPr>
      <w:r w:rsidRPr="00745360">
        <w:rPr>
          <w:rFonts w:asciiTheme="majorHAnsi" w:hAnsiTheme="majorHAnsi" w:cstheme="majorBidi"/>
          <w:color w:val="000000" w:themeColor="text1"/>
          <w:sz w:val="24"/>
          <w:szCs w:val="24"/>
          <w:vertAlign w:val="superscript"/>
          <w:lang w:val="id-ID"/>
        </w:rPr>
        <w:t>2</w:t>
      </w:r>
      <w:r w:rsidRPr="00745360">
        <w:rPr>
          <w:rFonts w:asciiTheme="majorHAnsi" w:hAnsiTheme="majorHAnsi" w:cstheme="majorBidi"/>
          <w:color w:val="000000" w:themeColor="text1"/>
          <w:sz w:val="24"/>
          <w:szCs w:val="24"/>
          <w:lang w:val="id-ID"/>
        </w:rPr>
        <w:t>ekonuriyatman@unja.ac.id</w:t>
      </w:r>
    </w:p>
    <w:p w14:paraId="287205FA" w14:textId="17EC6403" w:rsidR="00A553FB" w:rsidRPr="00745360" w:rsidRDefault="00A553FB" w:rsidP="00BD13F0">
      <w:pPr>
        <w:spacing w:after="0" w:line="240" w:lineRule="auto"/>
        <w:jc w:val="center"/>
        <w:rPr>
          <w:rFonts w:asciiTheme="majorHAnsi" w:hAnsiTheme="majorHAnsi" w:cstheme="majorBidi"/>
          <w:color w:val="000000" w:themeColor="text1"/>
          <w:sz w:val="24"/>
          <w:szCs w:val="24"/>
          <w:lang w:val="id-ID"/>
        </w:rPr>
      </w:pPr>
      <w:r w:rsidRPr="00A553FB">
        <w:rPr>
          <w:rFonts w:asciiTheme="majorHAnsi" w:hAnsiTheme="majorHAnsi" w:cstheme="majorBidi"/>
          <w:color w:val="000000" w:themeColor="text1"/>
          <w:sz w:val="24"/>
          <w:szCs w:val="24"/>
          <w:vertAlign w:val="superscript"/>
          <w:lang w:val="id-ID"/>
        </w:rPr>
        <w:t>3</w:t>
      </w:r>
      <w:r>
        <w:rPr>
          <w:rFonts w:asciiTheme="majorHAnsi" w:hAnsiTheme="majorHAnsi" w:cstheme="majorBidi"/>
          <w:color w:val="000000" w:themeColor="text1"/>
          <w:sz w:val="24"/>
          <w:szCs w:val="24"/>
          <w:lang w:val="id-ID"/>
        </w:rPr>
        <w:t>lilinailihidayah@unja.ac.id</w:t>
      </w:r>
    </w:p>
    <w:p w14:paraId="25228427" w14:textId="42F53B3A" w:rsidR="008564F6" w:rsidRPr="00745360" w:rsidRDefault="008564F6" w:rsidP="00BD13F0">
      <w:pPr>
        <w:spacing w:after="0" w:line="240" w:lineRule="auto"/>
        <w:jc w:val="both"/>
        <w:rPr>
          <w:rFonts w:asciiTheme="majorHAnsi" w:eastAsia="Times New Roman" w:hAnsiTheme="majorHAnsi" w:cs="Times New Roman"/>
          <w:color w:val="000000" w:themeColor="text1"/>
          <w:sz w:val="24"/>
          <w:szCs w:val="24"/>
        </w:rPr>
      </w:pPr>
    </w:p>
    <w:p w14:paraId="38348DE2" w14:textId="77777777" w:rsidR="008564F6" w:rsidRPr="00745360" w:rsidRDefault="00A05FF0" w:rsidP="00BD13F0">
      <w:pPr>
        <w:spacing w:after="0" w:line="240" w:lineRule="auto"/>
        <w:jc w:val="center"/>
        <w:rPr>
          <w:rFonts w:asciiTheme="majorHAnsi" w:eastAsia="Times New Roman" w:hAnsiTheme="majorHAnsi" w:cs="Times New Roman"/>
          <w:b/>
          <w:color w:val="000000" w:themeColor="text1"/>
          <w:sz w:val="24"/>
          <w:szCs w:val="24"/>
        </w:rPr>
      </w:pPr>
      <w:r w:rsidRPr="00745360">
        <w:rPr>
          <w:rFonts w:asciiTheme="majorHAnsi" w:eastAsia="Times New Roman" w:hAnsiTheme="majorHAnsi" w:cs="Times New Roman"/>
          <w:b/>
          <w:i/>
          <w:color w:val="000000" w:themeColor="text1"/>
          <w:sz w:val="24"/>
          <w:szCs w:val="24"/>
        </w:rPr>
        <w:t>Abstract</w:t>
      </w:r>
    </w:p>
    <w:p w14:paraId="5333D60A" w14:textId="334B7BDC" w:rsidR="002413FA" w:rsidRPr="00745360" w:rsidRDefault="00AC5EA1" w:rsidP="00BD13F0">
      <w:pPr>
        <w:spacing w:after="0" w:line="240" w:lineRule="auto"/>
        <w:jc w:val="both"/>
        <w:rPr>
          <w:rFonts w:asciiTheme="majorHAnsi" w:hAnsiTheme="majorHAnsi"/>
          <w:i/>
          <w:color w:val="000000" w:themeColor="text1"/>
          <w:sz w:val="24"/>
          <w:szCs w:val="24"/>
        </w:rPr>
      </w:pPr>
      <w:r w:rsidRPr="00AC5EA1">
        <w:rPr>
          <w:rFonts w:asciiTheme="majorHAnsi" w:hAnsiTheme="majorHAnsi" w:cs="Tahoma"/>
          <w:i/>
          <w:color w:val="000000" w:themeColor="text1"/>
          <w:sz w:val="24"/>
          <w:szCs w:val="24"/>
          <w:shd w:val="clear" w:color="auto" w:fill="FFFFFF"/>
        </w:rPr>
        <w:t xml:space="preserve">The governance of natural resources in Indonesia frequently reflects tensions between investment-oriented development policies and the protection of indigenous peoples’ rights. Although constitutional recognition of indigenous communities has been affirmed through Article 18B paragraph (2) and Article 28I paragraph (3) of the 1945 Constitution as well as Constitutional Court Decision No. 35/PUU-X/2012, its implementation remains limited due to procedural and administrative constraints. This research aims to examine the effectiveness of legal recognition and protection of the indigenous community of Desa </w:t>
      </w:r>
      <w:proofErr w:type="spellStart"/>
      <w:r w:rsidRPr="00AC5EA1">
        <w:rPr>
          <w:rFonts w:asciiTheme="majorHAnsi" w:hAnsiTheme="majorHAnsi" w:cs="Tahoma"/>
          <w:i/>
          <w:color w:val="000000" w:themeColor="text1"/>
          <w:sz w:val="24"/>
          <w:szCs w:val="24"/>
          <w:shd w:val="clear" w:color="auto" w:fill="FFFFFF"/>
        </w:rPr>
        <w:t>Jelutih</w:t>
      </w:r>
      <w:proofErr w:type="spellEnd"/>
      <w:r w:rsidRPr="00AC5EA1">
        <w:rPr>
          <w:rFonts w:asciiTheme="majorHAnsi" w:hAnsiTheme="majorHAnsi" w:cs="Tahoma"/>
          <w:i/>
          <w:color w:val="000000" w:themeColor="text1"/>
          <w:sz w:val="24"/>
          <w:szCs w:val="24"/>
          <w:shd w:val="clear" w:color="auto" w:fill="FFFFFF"/>
        </w:rPr>
        <w:t xml:space="preserve"> over natural resources and to formulate a harmonization framework between customary law and investment</w:t>
      </w:r>
      <w:r w:rsidR="00EF2B58">
        <w:rPr>
          <w:rFonts w:asciiTheme="majorHAnsi" w:hAnsiTheme="majorHAnsi" w:cs="Tahoma"/>
          <w:i/>
          <w:color w:val="000000" w:themeColor="text1"/>
          <w:sz w:val="24"/>
          <w:szCs w:val="24"/>
          <w:shd w:val="clear" w:color="auto" w:fill="FFFFFF"/>
        </w:rPr>
        <w:t xml:space="preserve"> </w:t>
      </w:r>
      <w:r w:rsidRPr="00AC5EA1">
        <w:rPr>
          <w:rFonts w:asciiTheme="majorHAnsi" w:hAnsiTheme="majorHAnsi" w:cs="Tahoma"/>
          <w:i/>
          <w:color w:val="000000" w:themeColor="text1"/>
          <w:sz w:val="24"/>
          <w:szCs w:val="24"/>
          <w:shd w:val="clear" w:color="auto" w:fill="FFFFFF"/>
        </w:rPr>
        <w:t>based natural resource governance. The study employs normative legal research using statute, conceptual, comparative, and case approaches. The findings indicate that the recognition of indigenous rights is largely procedural and has not fully ensured legal certainty regarding customary territories, access to natural resources, and equitable benefit distribution. Meanwhile, customary law demonstrates governance mechanisms rooted in local wisdom and ecological balance that support sustainable resource management. The novelty of this research lies in proposing a legal pluralism-based framework integrating three key dimensions: recognition of indigenous rights, participatory decision</w:t>
      </w:r>
      <w:r w:rsidR="00EF2B58">
        <w:rPr>
          <w:rFonts w:asciiTheme="majorHAnsi" w:hAnsiTheme="majorHAnsi" w:cs="Tahoma"/>
          <w:i/>
          <w:color w:val="000000" w:themeColor="text1"/>
          <w:sz w:val="24"/>
          <w:szCs w:val="24"/>
          <w:shd w:val="clear" w:color="auto" w:fill="FFFFFF"/>
        </w:rPr>
        <w:t xml:space="preserve"> </w:t>
      </w:r>
      <w:r w:rsidRPr="00AC5EA1">
        <w:rPr>
          <w:rFonts w:asciiTheme="majorHAnsi" w:hAnsiTheme="majorHAnsi" w:cs="Tahoma"/>
          <w:i/>
          <w:color w:val="000000" w:themeColor="text1"/>
          <w:sz w:val="24"/>
          <w:szCs w:val="24"/>
          <w:shd w:val="clear" w:color="auto" w:fill="FFFFFF"/>
        </w:rPr>
        <w:t>making through Free, Prior and Informed Consent (FPIC), and equitable economic benefit distribution. This framework contributes to developing inclusive, socially just, and sustainable natural resource governance.</w:t>
      </w:r>
    </w:p>
    <w:p w14:paraId="06A72DA8" w14:textId="77777777" w:rsidR="00AC5986" w:rsidRPr="00745360" w:rsidRDefault="00AC5986" w:rsidP="00BD13F0">
      <w:pPr>
        <w:spacing w:after="0" w:line="240" w:lineRule="auto"/>
        <w:jc w:val="both"/>
        <w:rPr>
          <w:rFonts w:asciiTheme="majorHAnsi" w:eastAsia="Times New Roman" w:hAnsiTheme="majorHAnsi" w:cs="Times New Roman"/>
          <w:i/>
          <w:color w:val="000000" w:themeColor="text1"/>
          <w:sz w:val="24"/>
          <w:szCs w:val="24"/>
        </w:rPr>
      </w:pPr>
    </w:p>
    <w:p w14:paraId="568F2859" w14:textId="3E52A0A3" w:rsidR="00AC5986" w:rsidRPr="00745360" w:rsidRDefault="00AC5986" w:rsidP="00BD13F0">
      <w:pPr>
        <w:spacing w:after="0" w:line="240" w:lineRule="auto"/>
        <w:jc w:val="both"/>
        <w:rPr>
          <w:rFonts w:asciiTheme="majorHAnsi" w:eastAsia="Times New Roman" w:hAnsiTheme="majorHAnsi" w:cs="Times New Roman"/>
          <w:i/>
          <w:color w:val="000000" w:themeColor="text1"/>
          <w:sz w:val="24"/>
          <w:szCs w:val="24"/>
        </w:rPr>
      </w:pPr>
      <w:r w:rsidRPr="00745360">
        <w:rPr>
          <w:rFonts w:asciiTheme="majorHAnsi" w:hAnsiTheme="majorHAnsi"/>
          <w:b/>
          <w:bCs/>
          <w:i/>
          <w:iCs/>
          <w:color w:val="000000" w:themeColor="text1"/>
          <w:sz w:val="24"/>
          <w:szCs w:val="24"/>
        </w:rPr>
        <w:t>Keywords:</w:t>
      </w:r>
      <w:r w:rsidR="00990784" w:rsidRPr="00745360">
        <w:rPr>
          <w:rFonts w:asciiTheme="majorHAnsi" w:eastAsia="Times New Roman" w:hAnsiTheme="majorHAnsi" w:cs="Times New Roman"/>
          <w:b/>
          <w:bCs/>
          <w:color w:val="000000" w:themeColor="text1"/>
          <w:kern w:val="36"/>
          <w:sz w:val="24"/>
          <w:szCs w:val="24"/>
        </w:rPr>
        <w:t xml:space="preserve"> </w:t>
      </w:r>
      <w:r w:rsidR="00AA3DB2" w:rsidRPr="00AA3DB2">
        <w:rPr>
          <w:rFonts w:asciiTheme="majorHAnsi" w:hAnsiTheme="majorHAnsi"/>
          <w:i/>
          <w:color w:val="000000" w:themeColor="text1"/>
          <w:sz w:val="24"/>
          <w:szCs w:val="24"/>
        </w:rPr>
        <w:t>Customary Law</w:t>
      </w:r>
      <w:r w:rsidR="00AA3DB2">
        <w:rPr>
          <w:rFonts w:asciiTheme="majorHAnsi" w:hAnsiTheme="majorHAnsi"/>
          <w:i/>
          <w:color w:val="000000" w:themeColor="text1"/>
          <w:sz w:val="24"/>
          <w:szCs w:val="24"/>
        </w:rPr>
        <w:t>,</w:t>
      </w:r>
      <w:r w:rsidR="00AA3DB2" w:rsidRPr="00AA3DB2">
        <w:rPr>
          <w:rFonts w:asciiTheme="majorHAnsi" w:hAnsiTheme="majorHAnsi"/>
          <w:i/>
          <w:color w:val="000000" w:themeColor="text1"/>
          <w:sz w:val="24"/>
          <w:szCs w:val="24"/>
        </w:rPr>
        <w:t xml:space="preserve"> Indigenous Peoples</w:t>
      </w:r>
      <w:r w:rsidR="00AA3DB2">
        <w:rPr>
          <w:rFonts w:asciiTheme="majorHAnsi" w:hAnsiTheme="majorHAnsi"/>
          <w:i/>
          <w:color w:val="000000" w:themeColor="text1"/>
          <w:sz w:val="24"/>
          <w:szCs w:val="24"/>
        </w:rPr>
        <w:t>,</w:t>
      </w:r>
      <w:r w:rsidR="00AA3DB2" w:rsidRPr="00AA3DB2">
        <w:rPr>
          <w:rFonts w:asciiTheme="majorHAnsi" w:hAnsiTheme="majorHAnsi"/>
          <w:i/>
          <w:color w:val="000000" w:themeColor="text1"/>
          <w:sz w:val="24"/>
          <w:szCs w:val="24"/>
        </w:rPr>
        <w:t xml:space="preserve"> Natural Resource Governance</w:t>
      </w:r>
      <w:r w:rsidR="00AA3DB2">
        <w:rPr>
          <w:rFonts w:asciiTheme="majorHAnsi" w:hAnsiTheme="majorHAnsi"/>
          <w:i/>
          <w:color w:val="000000" w:themeColor="text1"/>
          <w:sz w:val="24"/>
          <w:szCs w:val="24"/>
        </w:rPr>
        <w:t>.</w:t>
      </w:r>
    </w:p>
    <w:p w14:paraId="56BEF4FB" w14:textId="77777777" w:rsidR="00D86656" w:rsidRPr="00745360" w:rsidRDefault="00D86656" w:rsidP="00BD13F0">
      <w:pPr>
        <w:spacing w:after="0" w:line="360" w:lineRule="auto"/>
        <w:jc w:val="both"/>
        <w:rPr>
          <w:rFonts w:asciiTheme="majorHAnsi" w:eastAsia="Times New Roman" w:hAnsiTheme="majorHAnsi" w:cs="Times New Roman"/>
          <w:color w:val="000000" w:themeColor="text1"/>
          <w:sz w:val="20"/>
          <w:szCs w:val="20"/>
        </w:rPr>
      </w:pPr>
    </w:p>
    <w:p w14:paraId="76C92CB4" w14:textId="77777777" w:rsidR="008564F6" w:rsidRPr="00745360" w:rsidRDefault="00AC5986" w:rsidP="00B26B39">
      <w:pPr>
        <w:spacing w:after="0" w:line="360" w:lineRule="auto"/>
        <w:jc w:val="both"/>
        <w:rPr>
          <w:rFonts w:asciiTheme="majorHAnsi" w:eastAsia="Times New Roman" w:hAnsiTheme="majorHAnsi" w:cs="Times New Roman"/>
          <w:b/>
          <w:color w:val="000000" w:themeColor="text1"/>
          <w:sz w:val="24"/>
          <w:szCs w:val="24"/>
        </w:rPr>
      </w:pPr>
      <w:r w:rsidRPr="00745360">
        <w:rPr>
          <w:rFonts w:asciiTheme="majorHAnsi" w:eastAsia="Times New Roman" w:hAnsiTheme="majorHAnsi" w:cs="Times New Roman"/>
          <w:b/>
          <w:color w:val="000000" w:themeColor="text1"/>
          <w:sz w:val="24"/>
          <w:szCs w:val="24"/>
        </w:rPr>
        <w:t>Introduction</w:t>
      </w:r>
    </w:p>
    <w:p w14:paraId="1EC4E855" w14:textId="78859C67" w:rsidR="007E1CA1" w:rsidRPr="00745360" w:rsidRDefault="00D0228F" w:rsidP="007E1CA1">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The control and management of natural resources in Indonesia </w:t>
      </w:r>
      <w:proofErr w:type="gramStart"/>
      <w:r w:rsidRPr="00745360">
        <w:rPr>
          <w:rFonts w:asciiTheme="majorHAnsi" w:hAnsiTheme="majorHAnsi" w:cs="Tahoma"/>
          <w:color w:val="000000" w:themeColor="text1"/>
          <w:sz w:val="24"/>
          <w:szCs w:val="24"/>
          <w:shd w:val="clear" w:color="auto" w:fill="FFFFFF"/>
        </w:rPr>
        <w:t>has</w:t>
      </w:r>
      <w:proofErr w:type="gramEnd"/>
      <w:r w:rsidRPr="00745360">
        <w:rPr>
          <w:rFonts w:asciiTheme="majorHAnsi" w:hAnsiTheme="majorHAnsi" w:cs="Tahoma"/>
          <w:color w:val="000000" w:themeColor="text1"/>
          <w:sz w:val="24"/>
          <w:szCs w:val="24"/>
          <w:shd w:val="clear" w:color="auto" w:fill="FFFFFF"/>
        </w:rPr>
        <w:t xml:space="preserve"> always been in a tug-of-war between the interests of the state, the market, and customary </w:t>
      </w:r>
      <w:r w:rsidRPr="00745360">
        <w:rPr>
          <w:rFonts w:asciiTheme="majorHAnsi" w:hAnsiTheme="majorHAnsi" w:cs="Tahoma"/>
          <w:color w:val="000000" w:themeColor="text1"/>
          <w:sz w:val="24"/>
          <w:szCs w:val="24"/>
          <w:shd w:val="clear" w:color="auto" w:fill="FFFFFF"/>
        </w:rPr>
        <w:lastRenderedPageBreak/>
        <w:t>law communities. Article 33 paragraph (3) of the 1945 Constitution emphasizes that the earth, water, and natural resources are controlled by the state for the maximum prosperity of the people, which in the doctrine of constitutional law is interpreted as the public authority to regulate, manage, manage, and supervise, not as private property of the state</w:t>
      </w:r>
      <w:r w:rsidR="007771E3" w:rsidRPr="00745360">
        <w:rPr>
          <w:rFonts w:asciiTheme="majorHAnsi" w:hAnsiTheme="majorHAnsi" w:cs="Tahoma"/>
          <w:color w:val="000000" w:themeColor="text1"/>
          <w:sz w:val="24"/>
          <w:szCs w:val="24"/>
          <w:shd w:val="clear" w:color="auto" w:fill="FFFFFF"/>
        </w:rPr>
        <w:t>.</w:t>
      </w:r>
      <w:r w:rsidR="00055074" w:rsidRPr="00745360">
        <w:rPr>
          <w:rStyle w:val="FootnoteReference"/>
          <w:rFonts w:asciiTheme="majorHAnsi" w:hAnsiTheme="majorHAnsi" w:cs="Tahoma"/>
          <w:color w:val="000000" w:themeColor="text1"/>
          <w:sz w:val="24"/>
          <w:szCs w:val="24"/>
          <w:shd w:val="clear" w:color="auto" w:fill="FFFFFF"/>
        </w:rPr>
        <w:footnoteReference w:id="1"/>
      </w:r>
      <w:r w:rsidR="00A374E3" w:rsidRPr="00745360">
        <w:rPr>
          <w:rFonts w:asciiTheme="majorHAnsi" w:hAnsiTheme="majorHAnsi" w:cs="Tahoma"/>
          <w:color w:val="000000" w:themeColor="text1"/>
          <w:sz w:val="24"/>
          <w:szCs w:val="24"/>
          <w:shd w:val="clear" w:color="auto" w:fill="FFFFFF"/>
        </w:rPr>
        <w:t xml:space="preserve"> </w:t>
      </w:r>
      <w:r w:rsidR="00B553FD" w:rsidRPr="00745360">
        <w:rPr>
          <w:rFonts w:asciiTheme="majorHAnsi" w:hAnsiTheme="majorHAnsi" w:cs="Tahoma"/>
          <w:color w:val="000000" w:themeColor="text1"/>
          <w:sz w:val="24"/>
          <w:szCs w:val="24"/>
          <w:shd w:val="clear" w:color="auto" w:fill="FFFFFF"/>
        </w:rPr>
        <w:t>The implementation of this principle often emphasizes formal legality and investment-based licensing regimes, thus triggering tensions with customary rights and customary legal systems that are communal and oriented towards ecological balance</w:t>
      </w:r>
      <w:r w:rsidR="002F6DE5" w:rsidRPr="00745360">
        <w:rPr>
          <w:rFonts w:asciiTheme="majorHAnsi" w:hAnsiTheme="majorHAnsi" w:cs="Tahoma"/>
          <w:color w:val="000000" w:themeColor="text1"/>
          <w:sz w:val="24"/>
          <w:szCs w:val="24"/>
          <w:shd w:val="clear" w:color="auto" w:fill="FFFFFF"/>
        </w:rPr>
        <w:t>.</w:t>
      </w:r>
      <w:r w:rsidR="007E6EDD" w:rsidRPr="00745360">
        <w:rPr>
          <w:rStyle w:val="FootnoteReference"/>
          <w:rFonts w:asciiTheme="majorHAnsi" w:hAnsiTheme="majorHAnsi" w:cs="Tahoma"/>
          <w:color w:val="000000" w:themeColor="text1"/>
          <w:sz w:val="24"/>
          <w:szCs w:val="24"/>
          <w:shd w:val="clear" w:color="auto" w:fill="FFFFFF"/>
        </w:rPr>
        <w:footnoteReference w:id="2"/>
      </w:r>
    </w:p>
    <w:p w14:paraId="412C3A8B" w14:textId="197ECD4F" w:rsidR="008D6430" w:rsidRPr="00745360" w:rsidRDefault="00B553FD" w:rsidP="007E1CA1">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In Jambi Province, such as the one in </w:t>
      </w:r>
      <w:proofErr w:type="spellStart"/>
      <w:r w:rsidRPr="00745360">
        <w:rPr>
          <w:rFonts w:asciiTheme="majorHAnsi" w:hAnsiTheme="majorHAnsi" w:cs="Tahoma"/>
          <w:color w:val="000000" w:themeColor="text1"/>
          <w:sz w:val="24"/>
          <w:szCs w:val="24"/>
          <w:shd w:val="clear" w:color="auto" w:fill="FFFFFF"/>
        </w:rPr>
        <w:t>Jelutih</w:t>
      </w:r>
      <w:proofErr w:type="spellEnd"/>
      <w:r w:rsidRPr="00745360">
        <w:rPr>
          <w:rFonts w:asciiTheme="majorHAnsi" w:hAnsiTheme="majorHAnsi" w:cs="Tahoma"/>
          <w:color w:val="000000" w:themeColor="text1"/>
          <w:sz w:val="24"/>
          <w:szCs w:val="24"/>
          <w:shd w:val="clear" w:color="auto" w:fill="FFFFFF"/>
        </w:rPr>
        <w:t xml:space="preserve"> Village, it is a social space where real interaction between customary law and modern regulations within the framework of state control over natural resources. Sociologically juridically, the people maintain customary institutions in the management of land, forests, and natural resources based on hereditary norms that are qualified as customary rights with a religious communalist pattern</w:t>
      </w:r>
      <w:r w:rsidR="00EB5EF1" w:rsidRPr="00745360">
        <w:rPr>
          <w:rFonts w:asciiTheme="majorHAnsi" w:hAnsiTheme="majorHAnsi" w:cs="Tahoma"/>
          <w:color w:val="000000" w:themeColor="text1"/>
          <w:sz w:val="24"/>
          <w:szCs w:val="24"/>
          <w:shd w:val="clear" w:color="auto" w:fill="FFFFFF"/>
        </w:rPr>
        <w:t>.</w:t>
      </w:r>
      <w:r w:rsidR="000009A0" w:rsidRPr="00745360">
        <w:rPr>
          <w:rStyle w:val="FootnoteReference"/>
          <w:rFonts w:asciiTheme="majorHAnsi" w:hAnsiTheme="majorHAnsi" w:cs="Tahoma"/>
          <w:color w:val="000000" w:themeColor="text1"/>
          <w:sz w:val="24"/>
          <w:szCs w:val="24"/>
          <w:shd w:val="clear" w:color="auto" w:fill="FFFFFF"/>
        </w:rPr>
        <w:footnoteReference w:id="3"/>
      </w:r>
      <w:r w:rsidR="000009A0"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The institution not only serves as an instrument of internal regulation, but also as a mechanism for ecological protection and the affirmation of collective identity, because customary law essentially contains the value of balance between humans and nature as a cosmic unit</w:t>
      </w:r>
      <w:r w:rsidR="00C14E3E" w:rsidRPr="00745360">
        <w:rPr>
          <w:rFonts w:asciiTheme="majorHAnsi" w:hAnsiTheme="majorHAnsi" w:cs="Tahoma"/>
          <w:color w:val="000000" w:themeColor="text1"/>
          <w:sz w:val="24"/>
          <w:szCs w:val="24"/>
          <w:shd w:val="clear" w:color="auto" w:fill="FFFFFF"/>
        </w:rPr>
        <w:t>.</w:t>
      </w:r>
      <w:r w:rsidR="00FE338A" w:rsidRPr="00745360">
        <w:rPr>
          <w:rStyle w:val="FootnoteReference"/>
          <w:rFonts w:asciiTheme="majorHAnsi" w:hAnsiTheme="majorHAnsi" w:cs="Tahoma"/>
          <w:color w:val="000000" w:themeColor="text1"/>
          <w:sz w:val="24"/>
          <w:szCs w:val="24"/>
          <w:shd w:val="clear" w:color="auto" w:fill="FFFFFF"/>
        </w:rPr>
        <w:footnoteReference w:id="4"/>
      </w:r>
    </w:p>
    <w:p w14:paraId="712D1EC5" w14:textId="35661AED" w:rsidR="004953BD" w:rsidRPr="00745360" w:rsidRDefault="00B553FD" w:rsidP="007E1CA1">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On the other hand, at the macro policy level, the orientation of national natural resource management is normatively oriented towards the investment-based development paradigm and the optimization of measurable exploitation to support economic growth, as analyzed in various studies of legal reform and </w:t>
      </w:r>
      <w:r w:rsidRPr="00745360">
        <w:rPr>
          <w:rFonts w:asciiTheme="majorHAnsi" w:hAnsiTheme="majorHAnsi" w:cs="Tahoma"/>
          <w:color w:val="000000" w:themeColor="text1"/>
          <w:sz w:val="24"/>
          <w:szCs w:val="24"/>
          <w:shd w:val="clear" w:color="auto" w:fill="FFFFFF"/>
        </w:rPr>
        <w:lastRenderedPageBreak/>
        <w:t>investment policies in</w:t>
      </w:r>
      <w:r w:rsidR="00EE5D76" w:rsidRPr="00745360">
        <w:rPr>
          <w:rFonts w:asciiTheme="majorHAnsi" w:hAnsiTheme="majorHAnsi" w:cs="Tahoma"/>
          <w:color w:val="000000" w:themeColor="text1"/>
          <w:sz w:val="24"/>
          <w:szCs w:val="24"/>
          <w:shd w:val="clear" w:color="auto" w:fill="FFFFFF"/>
        </w:rPr>
        <w:t>.</w:t>
      </w:r>
      <w:r w:rsidR="00444C27" w:rsidRPr="00745360">
        <w:rPr>
          <w:rStyle w:val="FootnoteReference"/>
          <w:rFonts w:asciiTheme="majorHAnsi" w:hAnsiTheme="majorHAnsi" w:cs="Tahoma"/>
          <w:color w:val="000000" w:themeColor="text1"/>
          <w:sz w:val="24"/>
          <w:szCs w:val="24"/>
          <w:shd w:val="clear" w:color="auto" w:fill="FFFFFF"/>
        </w:rPr>
        <w:footnoteReference w:id="5"/>
      </w:r>
      <w:r w:rsidR="00444C27"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 xml:space="preserve">In the context of </w:t>
      </w:r>
      <w:proofErr w:type="spellStart"/>
      <w:r w:rsidRPr="00745360">
        <w:rPr>
          <w:rFonts w:asciiTheme="majorHAnsi" w:hAnsiTheme="majorHAnsi" w:cs="Tahoma"/>
          <w:color w:val="000000" w:themeColor="text1"/>
          <w:sz w:val="24"/>
          <w:szCs w:val="24"/>
          <w:shd w:val="clear" w:color="auto" w:fill="FFFFFF"/>
        </w:rPr>
        <w:t>Jelutih</w:t>
      </w:r>
      <w:proofErr w:type="spellEnd"/>
      <w:r w:rsidRPr="00745360">
        <w:rPr>
          <w:rFonts w:asciiTheme="majorHAnsi" w:hAnsiTheme="majorHAnsi" w:cs="Tahoma"/>
          <w:color w:val="000000" w:themeColor="text1"/>
          <w:sz w:val="24"/>
          <w:szCs w:val="24"/>
          <w:shd w:val="clear" w:color="auto" w:fill="FFFFFF"/>
        </w:rPr>
        <w:t xml:space="preserve"> Village, the crucial juridical issue is no longer the existence or absence of normative recognition of customary law communities, but rather the effectiveness of the protection of rights to natural resources that are managed from generation to generation. </w:t>
      </w:r>
    </w:p>
    <w:p w14:paraId="74058DC7" w14:textId="1BE5073A" w:rsidR="00137664" w:rsidRPr="00745360" w:rsidRDefault="00B553FD" w:rsidP="007E1CA1">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Although Article 18B paragraph (2) of the 1945 Constitution and the Constitutional Court Decision Number 35/PUU-X/2012 have affirmed constitutional recognition of customary forests, it shows that there is still a gap between normative recognition and administrative implementation at the regional level. Declarative procedural legal recognition does not necessarily guarantee access, control, and equitable distribution of economic benefits for indigenous peoples, thus potentially leaving structural problems in natural resource governance</w:t>
      </w:r>
      <w:r w:rsidR="004953BD" w:rsidRPr="00745360">
        <w:rPr>
          <w:rFonts w:asciiTheme="majorHAnsi" w:hAnsiTheme="majorHAnsi" w:cs="Tahoma"/>
          <w:color w:val="000000" w:themeColor="text1"/>
          <w:sz w:val="24"/>
          <w:szCs w:val="24"/>
          <w:shd w:val="clear" w:color="auto" w:fill="FFFFFF"/>
        </w:rPr>
        <w:t>.</w:t>
      </w:r>
      <w:r w:rsidR="00103168" w:rsidRPr="00745360">
        <w:rPr>
          <w:rStyle w:val="FootnoteReference"/>
          <w:rFonts w:asciiTheme="majorHAnsi" w:hAnsiTheme="majorHAnsi" w:cs="Tahoma"/>
          <w:color w:val="000000" w:themeColor="text1"/>
          <w:sz w:val="24"/>
          <w:szCs w:val="24"/>
          <w:shd w:val="clear" w:color="auto" w:fill="FFFFFF"/>
        </w:rPr>
        <w:footnoteReference w:id="6"/>
      </w:r>
    </w:p>
    <w:p w14:paraId="10C58524" w14:textId="48499B0C" w:rsidR="00704B22" w:rsidRPr="00745360" w:rsidRDefault="00B553FD" w:rsidP="007E1CA1">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Within the framework of national natural resource governance, there is an urgent need to harmonize customary law in </w:t>
      </w:r>
      <w:proofErr w:type="spellStart"/>
      <w:r w:rsidRPr="00745360">
        <w:rPr>
          <w:rFonts w:asciiTheme="majorHAnsi" w:hAnsiTheme="majorHAnsi" w:cs="Tahoma"/>
          <w:color w:val="000000" w:themeColor="text1"/>
          <w:sz w:val="24"/>
          <w:szCs w:val="24"/>
          <w:shd w:val="clear" w:color="auto" w:fill="FFFFFF"/>
        </w:rPr>
        <w:t>Jelutih</w:t>
      </w:r>
      <w:proofErr w:type="spellEnd"/>
      <w:r w:rsidRPr="00745360">
        <w:rPr>
          <w:rFonts w:asciiTheme="majorHAnsi" w:hAnsiTheme="majorHAnsi" w:cs="Tahoma"/>
          <w:color w:val="000000" w:themeColor="text1"/>
          <w:sz w:val="24"/>
          <w:szCs w:val="24"/>
          <w:shd w:val="clear" w:color="auto" w:fill="FFFFFF"/>
        </w:rPr>
        <w:t xml:space="preserve"> Village with modern natural resource management policies, especially so that investment policies do not ignore the principles of social justice and environmental sustainability. The formal rules that encourage investment often operate in modern administrative regimes that are less sensitive to the normative structure of customary law and local wisdom</w:t>
      </w:r>
      <w:r w:rsidR="00704B22" w:rsidRPr="00745360">
        <w:rPr>
          <w:rFonts w:asciiTheme="majorHAnsi" w:hAnsiTheme="majorHAnsi" w:cs="Tahoma"/>
          <w:color w:val="000000" w:themeColor="text1"/>
          <w:sz w:val="24"/>
          <w:szCs w:val="24"/>
          <w:shd w:val="clear" w:color="auto" w:fill="FFFFFF"/>
        </w:rPr>
        <w:t>,</w:t>
      </w:r>
      <w:r w:rsidR="00704B22" w:rsidRPr="00745360">
        <w:rPr>
          <w:rStyle w:val="FootnoteReference"/>
          <w:rFonts w:asciiTheme="majorHAnsi" w:hAnsiTheme="majorHAnsi" w:cs="Tahoma"/>
          <w:color w:val="000000" w:themeColor="text1"/>
          <w:sz w:val="24"/>
          <w:szCs w:val="24"/>
          <w:shd w:val="clear" w:color="auto" w:fill="FFFFFF"/>
        </w:rPr>
        <w:footnoteReference w:id="7"/>
      </w:r>
      <w:r w:rsidR="00704B22"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so that it can marginalize the right of indigenous peoples to participate in the decision-making process and the distribution of economic benefits on natural resources</w:t>
      </w:r>
      <w:r w:rsidR="00704B22" w:rsidRPr="00745360">
        <w:rPr>
          <w:rFonts w:asciiTheme="majorHAnsi" w:hAnsiTheme="majorHAnsi" w:cs="Tahoma"/>
          <w:color w:val="000000" w:themeColor="text1"/>
          <w:sz w:val="24"/>
          <w:szCs w:val="24"/>
          <w:shd w:val="clear" w:color="auto" w:fill="FFFFFF"/>
        </w:rPr>
        <w:t xml:space="preserve">. </w:t>
      </w:r>
    </w:p>
    <w:p w14:paraId="640BF4A4" w14:textId="2FB96384" w:rsidR="00B402A4" w:rsidRPr="00745360" w:rsidRDefault="006068BF" w:rsidP="00B402A4">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This is relevant to the findings presented by </w:t>
      </w:r>
      <w:proofErr w:type="spellStart"/>
      <w:r w:rsidRPr="00745360">
        <w:rPr>
          <w:rFonts w:asciiTheme="majorHAnsi" w:hAnsiTheme="majorHAnsi" w:cs="Tahoma"/>
          <w:color w:val="000000" w:themeColor="text1"/>
          <w:sz w:val="24"/>
          <w:szCs w:val="24"/>
          <w:shd w:val="clear" w:color="auto" w:fill="FFFFFF"/>
        </w:rPr>
        <w:t>Ageng</w:t>
      </w:r>
      <w:proofErr w:type="spellEnd"/>
      <w:r w:rsidRPr="00745360">
        <w:rPr>
          <w:rFonts w:asciiTheme="majorHAnsi" w:hAnsiTheme="majorHAnsi" w:cs="Tahoma"/>
          <w:color w:val="000000" w:themeColor="text1"/>
          <w:sz w:val="24"/>
          <w:szCs w:val="24"/>
          <w:shd w:val="clear" w:color="auto" w:fill="FFFFFF"/>
        </w:rPr>
        <w:t xml:space="preserve"> </w:t>
      </w:r>
      <w:proofErr w:type="spellStart"/>
      <w:r w:rsidRPr="00745360">
        <w:rPr>
          <w:rFonts w:asciiTheme="majorHAnsi" w:hAnsiTheme="majorHAnsi" w:cs="Tahoma"/>
          <w:color w:val="000000" w:themeColor="text1"/>
          <w:sz w:val="24"/>
          <w:szCs w:val="24"/>
          <w:shd w:val="clear" w:color="auto" w:fill="FFFFFF"/>
        </w:rPr>
        <w:t>Triganda</w:t>
      </w:r>
      <w:proofErr w:type="spellEnd"/>
      <w:r w:rsidRPr="00745360">
        <w:rPr>
          <w:rFonts w:asciiTheme="majorHAnsi" w:hAnsiTheme="majorHAnsi" w:cs="Tahoma"/>
          <w:color w:val="000000" w:themeColor="text1"/>
          <w:sz w:val="24"/>
          <w:szCs w:val="24"/>
          <w:shd w:val="clear" w:color="auto" w:fill="FFFFFF"/>
        </w:rPr>
        <w:t xml:space="preserve"> Sayuti which examines how contracts and legal practices in the natural resources sector tend to prioritize investment certainty over the protection of local communities' rights, </w:t>
      </w:r>
      <w:r w:rsidRPr="00745360">
        <w:rPr>
          <w:rFonts w:asciiTheme="majorHAnsi" w:hAnsiTheme="majorHAnsi" w:cs="Tahoma"/>
          <w:color w:val="000000" w:themeColor="text1"/>
          <w:sz w:val="24"/>
          <w:szCs w:val="24"/>
          <w:shd w:val="clear" w:color="auto" w:fill="FFFFFF"/>
        </w:rPr>
        <w:lastRenderedPageBreak/>
        <w:t>especially in the context of primary industries such as oil palm plantations, which have an impact on indigenous communities and the local environment</w:t>
      </w:r>
      <w:r w:rsidR="00D55875" w:rsidRPr="00745360">
        <w:rPr>
          <w:rFonts w:asciiTheme="majorHAnsi" w:hAnsiTheme="majorHAnsi" w:cs="Tahoma"/>
          <w:color w:val="000000" w:themeColor="text1"/>
          <w:sz w:val="24"/>
          <w:szCs w:val="24"/>
          <w:shd w:val="clear" w:color="auto" w:fill="FFFFFF"/>
        </w:rPr>
        <w:t>.</w:t>
      </w:r>
      <w:r w:rsidR="00D55875" w:rsidRPr="00745360">
        <w:rPr>
          <w:rStyle w:val="FootnoteReference"/>
          <w:rFonts w:asciiTheme="majorHAnsi" w:hAnsiTheme="majorHAnsi" w:cs="Tahoma"/>
          <w:color w:val="000000" w:themeColor="text1"/>
          <w:sz w:val="24"/>
          <w:szCs w:val="24"/>
          <w:shd w:val="clear" w:color="auto" w:fill="FFFFFF"/>
        </w:rPr>
        <w:footnoteReference w:id="8"/>
      </w:r>
      <w:r w:rsidR="00B402A4"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From the perspective of social justice, the legal and public policy arrangements for natural resources must be able to ensure a fair distribution of benefits, recognition of access and control rights by indigenous peoples, and the protection of vulnerable groups from unilateral exploitation, in accordance with constitutional ideals and legal principles of equitable development</w:t>
      </w:r>
      <w:r w:rsidR="00B402A4" w:rsidRPr="00745360">
        <w:rPr>
          <w:rFonts w:asciiTheme="majorHAnsi" w:hAnsiTheme="majorHAnsi" w:cs="Tahoma"/>
          <w:color w:val="000000" w:themeColor="text1"/>
          <w:sz w:val="24"/>
          <w:szCs w:val="24"/>
          <w:shd w:val="clear" w:color="auto" w:fill="FFFFFF"/>
        </w:rPr>
        <w:t xml:space="preserve">. </w:t>
      </w:r>
    </w:p>
    <w:p w14:paraId="7998DE92" w14:textId="73E765E4" w:rsidR="0002626E" w:rsidRPr="00745360" w:rsidRDefault="006068BF" w:rsidP="00B402A4">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Governance must ensure ecological sustainability that not only protects resources for current generations but also future generations, as reviewed in the progressive legal literature on the contribution of customary law in environmental conservation</w:t>
      </w:r>
      <w:r w:rsidR="00B402A4" w:rsidRPr="00745360">
        <w:rPr>
          <w:rFonts w:asciiTheme="majorHAnsi" w:hAnsiTheme="majorHAnsi" w:cs="Tahoma"/>
          <w:color w:val="000000" w:themeColor="text1"/>
          <w:sz w:val="24"/>
          <w:szCs w:val="24"/>
          <w:shd w:val="clear" w:color="auto" w:fill="FFFFFF"/>
        </w:rPr>
        <w:t>.</w:t>
      </w:r>
      <w:r w:rsidR="00A65472" w:rsidRPr="00745360">
        <w:rPr>
          <w:rStyle w:val="FootnoteReference"/>
          <w:rFonts w:asciiTheme="majorHAnsi" w:hAnsiTheme="majorHAnsi" w:cs="Tahoma"/>
          <w:color w:val="000000" w:themeColor="text1"/>
          <w:sz w:val="24"/>
          <w:szCs w:val="24"/>
          <w:shd w:val="clear" w:color="auto" w:fill="FFFFFF"/>
        </w:rPr>
        <w:footnoteReference w:id="9"/>
      </w:r>
      <w:r w:rsidR="005660CD"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Therefore, the harmonization between customary law and modern policy is not only a normative ideal, but a strategic need to formulate an inclusive, just, and sustainable model of natural resource governance, capable of reconciling the formal legal mechanisms of the state and the practice of customary law that lives in the community</w:t>
      </w:r>
      <w:r w:rsidR="00EF4CE5" w:rsidRPr="00745360">
        <w:rPr>
          <w:rFonts w:asciiTheme="majorHAnsi" w:hAnsiTheme="majorHAnsi" w:cs="Tahoma"/>
          <w:color w:val="000000" w:themeColor="text1"/>
          <w:sz w:val="24"/>
          <w:szCs w:val="24"/>
          <w:shd w:val="clear" w:color="auto" w:fill="FFFFFF"/>
        </w:rPr>
        <w:t>.</w:t>
      </w:r>
      <w:r w:rsidR="0002626E" w:rsidRPr="00745360">
        <w:rPr>
          <w:rFonts w:asciiTheme="majorHAnsi" w:hAnsiTheme="majorHAnsi" w:cs="Tahoma"/>
          <w:color w:val="000000" w:themeColor="text1"/>
          <w:sz w:val="24"/>
          <w:szCs w:val="24"/>
          <w:shd w:val="clear" w:color="auto" w:fill="FFFFFF"/>
        </w:rPr>
        <w:t xml:space="preserve"> </w:t>
      </w:r>
    </w:p>
    <w:p w14:paraId="60A779F9" w14:textId="77777777" w:rsidR="006068BF" w:rsidRPr="00745360" w:rsidRDefault="006068BF" w:rsidP="007D37EA">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Therefore, this article will analyze related to the effectiveness of the recognition and protection of the rights of the indigenous people of </w:t>
      </w:r>
      <w:proofErr w:type="spellStart"/>
      <w:r w:rsidRPr="00745360">
        <w:rPr>
          <w:rFonts w:asciiTheme="majorHAnsi" w:hAnsiTheme="majorHAnsi" w:cs="Tahoma"/>
          <w:color w:val="000000" w:themeColor="text1"/>
          <w:sz w:val="24"/>
          <w:szCs w:val="24"/>
          <w:shd w:val="clear" w:color="auto" w:fill="FFFFFF"/>
        </w:rPr>
        <w:t>Jelutih</w:t>
      </w:r>
      <w:proofErr w:type="spellEnd"/>
      <w:r w:rsidRPr="00745360">
        <w:rPr>
          <w:rFonts w:asciiTheme="majorHAnsi" w:hAnsiTheme="majorHAnsi" w:cs="Tahoma"/>
          <w:color w:val="000000" w:themeColor="text1"/>
          <w:sz w:val="24"/>
          <w:szCs w:val="24"/>
          <w:shd w:val="clear" w:color="auto" w:fill="FFFFFF"/>
        </w:rPr>
        <w:t xml:space="preserve"> Village to natural resources within the framework of national law, and the harmonization between customary law and investment-based natural resource management policies in the perspective of social justice and sustainability. This analysis is expected to find a common ground between local wisdom and modern regulations as the basis for inclusive and equitable natural resource governance.</w:t>
      </w:r>
    </w:p>
    <w:p w14:paraId="13587781" w14:textId="77777777" w:rsidR="0002626E" w:rsidRDefault="0002626E" w:rsidP="00B26B39">
      <w:pPr>
        <w:spacing w:after="0" w:line="360" w:lineRule="auto"/>
        <w:jc w:val="both"/>
        <w:rPr>
          <w:rFonts w:asciiTheme="majorHAnsi" w:eastAsia="Times New Roman" w:hAnsiTheme="majorHAnsi" w:cs="Tahoma"/>
          <w:b/>
          <w:bCs/>
          <w:color w:val="000000" w:themeColor="text1"/>
          <w:sz w:val="24"/>
          <w:szCs w:val="24"/>
        </w:rPr>
      </w:pPr>
    </w:p>
    <w:p w14:paraId="3F49224C" w14:textId="77777777" w:rsidR="006068BF" w:rsidRDefault="006068BF" w:rsidP="00B26B39">
      <w:pPr>
        <w:spacing w:after="0" w:line="360" w:lineRule="auto"/>
        <w:jc w:val="both"/>
        <w:rPr>
          <w:rFonts w:asciiTheme="majorHAnsi" w:eastAsia="Times New Roman" w:hAnsiTheme="majorHAnsi" w:cs="Tahoma"/>
          <w:b/>
          <w:bCs/>
          <w:color w:val="000000" w:themeColor="text1"/>
          <w:sz w:val="24"/>
          <w:szCs w:val="24"/>
        </w:rPr>
      </w:pPr>
    </w:p>
    <w:p w14:paraId="16ED7A8F" w14:textId="77777777" w:rsidR="006068BF" w:rsidRPr="00745360" w:rsidRDefault="006068BF" w:rsidP="00B26B39">
      <w:pPr>
        <w:spacing w:after="0" w:line="360" w:lineRule="auto"/>
        <w:jc w:val="both"/>
        <w:rPr>
          <w:rFonts w:asciiTheme="majorHAnsi" w:eastAsia="Times New Roman" w:hAnsiTheme="majorHAnsi" w:cs="Tahoma"/>
          <w:b/>
          <w:bCs/>
          <w:color w:val="000000" w:themeColor="text1"/>
          <w:sz w:val="24"/>
          <w:szCs w:val="24"/>
        </w:rPr>
      </w:pPr>
    </w:p>
    <w:p w14:paraId="70F62776" w14:textId="10EDF18D" w:rsidR="00AC5986" w:rsidRDefault="00AC5986" w:rsidP="00B26B39">
      <w:pPr>
        <w:spacing w:after="0" w:line="360" w:lineRule="auto"/>
        <w:jc w:val="both"/>
        <w:rPr>
          <w:rFonts w:asciiTheme="majorHAnsi" w:eastAsia="Times New Roman" w:hAnsiTheme="majorHAnsi" w:cs="Times New Roman"/>
          <w:b/>
          <w:color w:val="000000" w:themeColor="text1"/>
          <w:sz w:val="24"/>
          <w:szCs w:val="24"/>
        </w:rPr>
      </w:pPr>
      <w:r w:rsidRPr="00745360">
        <w:rPr>
          <w:rFonts w:asciiTheme="majorHAnsi" w:eastAsia="Times New Roman" w:hAnsiTheme="majorHAnsi" w:cs="Times New Roman"/>
          <w:b/>
          <w:color w:val="000000" w:themeColor="text1"/>
          <w:sz w:val="24"/>
          <w:szCs w:val="24"/>
        </w:rPr>
        <w:lastRenderedPageBreak/>
        <w:t>Methods</w:t>
      </w:r>
    </w:p>
    <w:p w14:paraId="60A579FC" w14:textId="77777777" w:rsidR="006068BF" w:rsidRPr="00115152" w:rsidRDefault="006068BF" w:rsidP="00163249">
      <w:pPr>
        <w:spacing w:after="0" w:line="360" w:lineRule="auto"/>
        <w:ind w:firstLine="709"/>
        <w:jc w:val="both"/>
        <w:rPr>
          <w:rFonts w:asciiTheme="majorHAnsi" w:eastAsia="Times New Roman" w:hAnsiTheme="majorHAnsi" w:cs="Times New Roman"/>
          <w:bCs/>
          <w:color w:val="000000" w:themeColor="text1"/>
          <w:sz w:val="24"/>
          <w:szCs w:val="24"/>
        </w:rPr>
      </w:pPr>
      <w:r w:rsidRPr="00115152">
        <w:rPr>
          <w:rFonts w:asciiTheme="majorHAnsi" w:eastAsia="Times New Roman" w:hAnsiTheme="majorHAnsi" w:cs="Times New Roman"/>
          <w:bCs/>
          <w:color w:val="000000" w:themeColor="text1"/>
          <w:sz w:val="24"/>
          <w:szCs w:val="24"/>
        </w:rPr>
        <w:t xml:space="preserve">This research is </w:t>
      </w:r>
      <w:proofErr w:type="gramStart"/>
      <w:r w:rsidRPr="00115152">
        <w:rPr>
          <w:rFonts w:asciiTheme="majorHAnsi" w:eastAsia="Times New Roman" w:hAnsiTheme="majorHAnsi" w:cs="Times New Roman"/>
          <w:bCs/>
          <w:color w:val="000000" w:themeColor="text1"/>
          <w:sz w:val="24"/>
          <w:szCs w:val="24"/>
        </w:rPr>
        <w:t>a normative legal research</w:t>
      </w:r>
      <w:proofErr w:type="gramEnd"/>
      <w:r w:rsidRPr="00115152">
        <w:rPr>
          <w:rFonts w:asciiTheme="majorHAnsi" w:eastAsia="Times New Roman" w:hAnsiTheme="majorHAnsi" w:cs="Times New Roman"/>
          <w:bCs/>
          <w:color w:val="000000" w:themeColor="text1"/>
          <w:sz w:val="24"/>
          <w:szCs w:val="24"/>
        </w:rPr>
        <w:t xml:space="preserve"> that analyzes the harmonization between customary law and investment-based natural resource management policies within the framework of national law. This study uses several approaches, namely statute approach, conceptual approach, comparative approach, and case approach to examine legal arrangements related to the recognition and protection of customary law people's rights in natural resource management, including the development of legal practice in several countries. The legal materials used consist of primary legal materials in the form of laws and regulations, decisions of the Constitutional Court, as well as international legal instruments related to the rights of indigenous peoples, and secondary legal materials in the form of books, indexed scientific journal articles, and relevant academic publications. All legal materials were analyzed qualitatively with legal interpretation techniques and analytical descriptive analysis to find harmonized construction between customary law and investment policies in socially just and sustainable natural resource governance.</w:t>
      </w:r>
    </w:p>
    <w:p w14:paraId="055ED766" w14:textId="77777777" w:rsidR="00AC5986" w:rsidRPr="00745360" w:rsidRDefault="00AC5986" w:rsidP="00B26B39">
      <w:pPr>
        <w:spacing w:after="0" w:line="360" w:lineRule="auto"/>
        <w:jc w:val="both"/>
        <w:rPr>
          <w:rFonts w:asciiTheme="majorHAnsi" w:eastAsia="Times New Roman" w:hAnsiTheme="majorHAnsi" w:cs="Times New Roman"/>
          <w:color w:val="000000" w:themeColor="text1"/>
          <w:sz w:val="24"/>
          <w:szCs w:val="24"/>
        </w:rPr>
      </w:pPr>
    </w:p>
    <w:p w14:paraId="227A0ADF" w14:textId="77777777" w:rsidR="00F04922" w:rsidRPr="00745360" w:rsidRDefault="00AC5986" w:rsidP="00B26B39">
      <w:pPr>
        <w:spacing w:after="0" w:line="360" w:lineRule="auto"/>
        <w:jc w:val="both"/>
        <w:rPr>
          <w:rFonts w:asciiTheme="majorHAnsi" w:eastAsia="Times New Roman" w:hAnsiTheme="majorHAnsi" w:cs="Times New Roman"/>
          <w:b/>
          <w:color w:val="000000" w:themeColor="text1"/>
          <w:sz w:val="24"/>
          <w:szCs w:val="24"/>
        </w:rPr>
      </w:pPr>
      <w:r w:rsidRPr="00745360">
        <w:rPr>
          <w:rFonts w:asciiTheme="majorHAnsi" w:eastAsia="Times New Roman" w:hAnsiTheme="majorHAnsi" w:cs="Times New Roman"/>
          <w:b/>
          <w:color w:val="000000" w:themeColor="text1"/>
          <w:sz w:val="24"/>
          <w:szCs w:val="24"/>
        </w:rPr>
        <w:t>Discussion</w:t>
      </w:r>
    </w:p>
    <w:p w14:paraId="721235BB" w14:textId="77777777" w:rsidR="006068BF" w:rsidRPr="00745360" w:rsidRDefault="006068BF" w:rsidP="00167612">
      <w:pPr>
        <w:spacing w:after="0" w:line="360" w:lineRule="auto"/>
        <w:jc w:val="both"/>
        <w:rPr>
          <w:rFonts w:asciiTheme="majorHAnsi" w:eastAsia="Times New Roman" w:hAnsiTheme="majorHAnsi" w:cs="Times New Roman"/>
          <w:b/>
          <w:color w:val="000000" w:themeColor="text1"/>
          <w:sz w:val="24"/>
          <w:szCs w:val="24"/>
        </w:rPr>
      </w:pPr>
      <w:r w:rsidRPr="00745360">
        <w:rPr>
          <w:rFonts w:asciiTheme="majorHAnsi" w:eastAsia="Times New Roman" w:hAnsiTheme="majorHAnsi" w:cs="Times New Roman"/>
          <w:b/>
          <w:color w:val="000000" w:themeColor="text1"/>
          <w:sz w:val="24"/>
          <w:szCs w:val="24"/>
        </w:rPr>
        <w:t xml:space="preserve">The Effectiveness of Recognition and Protection of the Rights of Indigenous Peoples of </w:t>
      </w:r>
      <w:proofErr w:type="spellStart"/>
      <w:r w:rsidRPr="00745360">
        <w:rPr>
          <w:rFonts w:asciiTheme="majorHAnsi" w:eastAsia="Times New Roman" w:hAnsiTheme="majorHAnsi" w:cs="Times New Roman"/>
          <w:b/>
          <w:color w:val="000000" w:themeColor="text1"/>
          <w:sz w:val="24"/>
          <w:szCs w:val="24"/>
        </w:rPr>
        <w:t>Jelutih</w:t>
      </w:r>
      <w:proofErr w:type="spellEnd"/>
      <w:r w:rsidRPr="00745360">
        <w:rPr>
          <w:rFonts w:asciiTheme="majorHAnsi" w:eastAsia="Times New Roman" w:hAnsiTheme="majorHAnsi" w:cs="Times New Roman"/>
          <w:b/>
          <w:color w:val="000000" w:themeColor="text1"/>
          <w:sz w:val="24"/>
          <w:szCs w:val="24"/>
        </w:rPr>
        <w:t xml:space="preserve"> Village to Natural Resources within the National Legal Framework</w:t>
      </w:r>
    </w:p>
    <w:p w14:paraId="4204CD20" w14:textId="171E90C9" w:rsidR="00134AD4" w:rsidRPr="00745360" w:rsidRDefault="0019225E" w:rsidP="001F246A">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In Indonesia's national legal system, the recognition of the rights of indigenous peoples to natural resources has an explicit constitutional basis, the norms contained in the constitution provide legal status to indigenous peoples as legal subjects over the natural resources they own and manage for generations</w:t>
      </w:r>
      <w:r w:rsidR="00D77A01" w:rsidRPr="00745360">
        <w:rPr>
          <w:rFonts w:asciiTheme="majorHAnsi" w:hAnsiTheme="majorHAnsi" w:cs="Tahoma"/>
          <w:color w:val="000000" w:themeColor="text1"/>
          <w:sz w:val="24"/>
          <w:szCs w:val="24"/>
          <w:shd w:val="clear" w:color="auto" w:fill="FFFFFF"/>
        </w:rPr>
        <w:t>.</w:t>
      </w:r>
      <w:r w:rsidR="00B511BC" w:rsidRPr="00745360">
        <w:rPr>
          <w:rStyle w:val="FootnoteReference"/>
          <w:rFonts w:asciiTheme="majorHAnsi" w:hAnsiTheme="majorHAnsi" w:cs="Tahoma"/>
          <w:color w:val="000000" w:themeColor="text1"/>
          <w:sz w:val="24"/>
          <w:szCs w:val="24"/>
          <w:shd w:val="clear" w:color="auto" w:fill="FFFFFF"/>
        </w:rPr>
        <w:footnoteReference w:id="10"/>
      </w:r>
      <w:r w:rsidR="00B511BC"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 xml:space="preserve">Despite constitutional recognition, the reality of normative implementation still faces significant obstacles, as such recognition is often conditional and dependent on the administrative interpretation of local governments, so that the rights of </w:t>
      </w:r>
      <w:r w:rsidRPr="00745360">
        <w:rPr>
          <w:rFonts w:asciiTheme="majorHAnsi" w:hAnsiTheme="majorHAnsi" w:cs="Tahoma"/>
          <w:color w:val="000000" w:themeColor="text1"/>
          <w:sz w:val="24"/>
          <w:szCs w:val="24"/>
          <w:shd w:val="clear" w:color="auto" w:fill="FFFFFF"/>
        </w:rPr>
        <w:lastRenderedPageBreak/>
        <w:t>indigenous peoples have not been de facto fully recognized operationally in national legal practice</w:t>
      </w:r>
      <w:r w:rsidR="00134AD4" w:rsidRPr="00745360">
        <w:rPr>
          <w:rFonts w:asciiTheme="majorHAnsi" w:hAnsiTheme="majorHAnsi" w:cs="Tahoma"/>
          <w:color w:val="000000" w:themeColor="text1"/>
          <w:sz w:val="24"/>
          <w:szCs w:val="24"/>
          <w:shd w:val="clear" w:color="auto" w:fill="FFFFFF"/>
        </w:rPr>
        <w:t>.</w:t>
      </w:r>
      <w:r w:rsidR="00134AD4" w:rsidRPr="00745360">
        <w:rPr>
          <w:rStyle w:val="FootnoteReference"/>
          <w:rFonts w:asciiTheme="majorHAnsi" w:hAnsiTheme="majorHAnsi" w:cs="Tahoma"/>
          <w:color w:val="000000" w:themeColor="text1"/>
          <w:sz w:val="24"/>
          <w:szCs w:val="24"/>
          <w:shd w:val="clear" w:color="auto" w:fill="FFFFFF"/>
        </w:rPr>
        <w:footnoteReference w:id="11"/>
      </w:r>
      <w:r w:rsidR="00134AD4" w:rsidRPr="00745360">
        <w:rPr>
          <w:rFonts w:asciiTheme="majorHAnsi" w:hAnsiTheme="majorHAnsi" w:cs="Tahoma"/>
          <w:color w:val="000000" w:themeColor="text1"/>
          <w:sz w:val="24"/>
          <w:szCs w:val="24"/>
          <w:shd w:val="clear" w:color="auto" w:fill="FFFFFF"/>
        </w:rPr>
        <w:t xml:space="preserve"> </w:t>
      </w:r>
    </w:p>
    <w:p w14:paraId="1B952BDE" w14:textId="37DD1070" w:rsidR="00C32BB1" w:rsidRPr="00745360" w:rsidRDefault="00C626BD" w:rsidP="00C32BB1">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As analyzed by </w:t>
      </w:r>
      <w:proofErr w:type="spellStart"/>
      <w:r w:rsidRPr="00745360">
        <w:rPr>
          <w:rFonts w:asciiTheme="majorHAnsi" w:hAnsiTheme="majorHAnsi" w:cs="Tahoma"/>
          <w:color w:val="000000" w:themeColor="text1"/>
          <w:sz w:val="24"/>
          <w:szCs w:val="24"/>
          <w:shd w:val="clear" w:color="auto" w:fill="FFFFFF"/>
        </w:rPr>
        <w:t>Krismawati</w:t>
      </w:r>
      <w:proofErr w:type="spellEnd"/>
      <w:r w:rsidRPr="00745360">
        <w:rPr>
          <w:rFonts w:asciiTheme="majorHAnsi" w:hAnsiTheme="majorHAnsi" w:cs="Tahoma"/>
          <w:color w:val="000000" w:themeColor="text1"/>
          <w:sz w:val="24"/>
          <w:szCs w:val="24"/>
          <w:shd w:val="clear" w:color="auto" w:fill="FFFFFF"/>
        </w:rPr>
        <w:t xml:space="preserve"> and El Fareeha in a study of the Customary Law Community's Draft Law, recognition so far is still procedural and does not guarantee substantive protection of customary rights to land and natural resources</w:t>
      </w:r>
      <w:r w:rsidR="00134AD4" w:rsidRPr="00745360">
        <w:rPr>
          <w:rFonts w:asciiTheme="majorHAnsi" w:hAnsiTheme="majorHAnsi" w:cs="Tahoma"/>
          <w:color w:val="000000" w:themeColor="text1"/>
          <w:sz w:val="24"/>
          <w:szCs w:val="24"/>
          <w:shd w:val="clear" w:color="auto" w:fill="FFFFFF"/>
        </w:rPr>
        <w:t>.</w:t>
      </w:r>
      <w:r w:rsidR="00134AD4" w:rsidRPr="00745360">
        <w:rPr>
          <w:rStyle w:val="FootnoteReference"/>
          <w:rFonts w:asciiTheme="majorHAnsi" w:hAnsiTheme="majorHAnsi" w:cs="Tahoma"/>
          <w:color w:val="000000" w:themeColor="text1"/>
          <w:sz w:val="24"/>
          <w:szCs w:val="24"/>
          <w:shd w:val="clear" w:color="auto" w:fill="FFFFFF"/>
        </w:rPr>
        <w:footnoteReference w:id="12"/>
      </w:r>
      <w:r w:rsidR="00134AD4"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 xml:space="preserve">In a juridical study on the state's responsibility for indigenous peoples' rights to natural resources, </w:t>
      </w:r>
      <w:proofErr w:type="spellStart"/>
      <w:r w:rsidRPr="00745360">
        <w:rPr>
          <w:rFonts w:asciiTheme="majorHAnsi" w:hAnsiTheme="majorHAnsi" w:cs="Tahoma"/>
          <w:color w:val="000000" w:themeColor="text1"/>
          <w:sz w:val="24"/>
          <w:szCs w:val="24"/>
          <w:shd w:val="clear" w:color="auto" w:fill="FFFFFF"/>
        </w:rPr>
        <w:t>Soelistyowati</w:t>
      </w:r>
      <w:proofErr w:type="spellEnd"/>
      <w:r w:rsidRPr="00745360">
        <w:rPr>
          <w:rFonts w:asciiTheme="majorHAnsi" w:hAnsiTheme="majorHAnsi" w:cs="Tahoma"/>
          <w:color w:val="000000" w:themeColor="text1"/>
          <w:sz w:val="24"/>
          <w:szCs w:val="24"/>
          <w:shd w:val="clear" w:color="auto" w:fill="FFFFFF"/>
        </w:rPr>
        <w:t xml:space="preserve"> explained that since the post-1998 agrarian law political reform, there has been an intention of the government to recognize the rights of Indigenous Peoples, but its implementation is still limited by ambiguity of norms and cross-sectoral regulatory conflicts that weaken legal certainty over customary territories and access to natural resources</w:t>
      </w:r>
      <w:r w:rsidR="00EF2C98" w:rsidRPr="00745360">
        <w:rPr>
          <w:rFonts w:asciiTheme="majorHAnsi" w:hAnsiTheme="majorHAnsi" w:cs="Tahoma"/>
          <w:color w:val="000000" w:themeColor="text1"/>
          <w:sz w:val="24"/>
          <w:szCs w:val="24"/>
          <w:shd w:val="clear" w:color="auto" w:fill="FFFFFF"/>
        </w:rPr>
        <w:t>.</w:t>
      </w:r>
      <w:r w:rsidR="00936A20" w:rsidRPr="00745360">
        <w:rPr>
          <w:rStyle w:val="FootnoteReference"/>
          <w:rFonts w:asciiTheme="majorHAnsi" w:hAnsiTheme="majorHAnsi" w:cs="Tahoma"/>
          <w:color w:val="000000" w:themeColor="text1"/>
          <w:sz w:val="24"/>
          <w:szCs w:val="24"/>
          <w:shd w:val="clear" w:color="auto" w:fill="FFFFFF"/>
        </w:rPr>
        <w:footnoteReference w:id="13"/>
      </w:r>
    </w:p>
    <w:p w14:paraId="165A8332" w14:textId="77777777" w:rsidR="00C626BD" w:rsidRPr="00745360" w:rsidRDefault="00C626BD" w:rsidP="009207D9">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The concept of customary rights as a form of collective rights of indigenous peoples is also strengthened in Indonesian agrarian literature, which is regulated in Article 3 of the Basic Agrarian Law Number 5 of 1960, which affirms that the implementation of customary rights and other rights of customary law communities is recognized as long as they exist according to reality, but this norm is often unable to guarantee legal protection because it conflicts with technical implementation at the local level</w:t>
      </w:r>
      <w:r w:rsidR="00C32BB1" w:rsidRPr="00745360">
        <w:rPr>
          <w:rFonts w:asciiTheme="majorHAnsi" w:hAnsiTheme="majorHAnsi" w:cs="Tahoma"/>
          <w:color w:val="000000" w:themeColor="text1"/>
          <w:sz w:val="24"/>
          <w:szCs w:val="24"/>
          <w:shd w:val="clear" w:color="auto" w:fill="FFFFFF"/>
        </w:rPr>
        <w:t>.</w:t>
      </w:r>
      <w:r w:rsidR="00C32BB1" w:rsidRPr="00745360">
        <w:rPr>
          <w:rStyle w:val="FootnoteReference"/>
          <w:rFonts w:asciiTheme="majorHAnsi" w:hAnsiTheme="majorHAnsi" w:cs="Tahoma"/>
          <w:color w:val="000000" w:themeColor="text1"/>
          <w:sz w:val="24"/>
          <w:szCs w:val="24"/>
          <w:shd w:val="clear" w:color="auto" w:fill="FFFFFF"/>
        </w:rPr>
        <w:footnoteReference w:id="14"/>
      </w:r>
      <w:r w:rsidR="00370CE3"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 xml:space="preserve">The political discourse of agrarian law in Indonesia shows the tension between the orientation of national development and the protection of indigenous peoples' rights, where in many cases indigenous peoples' rights to natural resources are marginalized in favor of investment and economic growth, </w:t>
      </w:r>
      <w:r w:rsidRPr="00745360">
        <w:rPr>
          <w:rFonts w:asciiTheme="majorHAnsi" w:hAnsiTheme="majorHAnsi" w:cs="Tahoma"/>
          <w:color w:val="000000" w:themeColor="text1"/>
          <w:sz w:val="24"/>
          <w:szCs w:val="24"/>
          <w:shd w:val="clear" w:color="auto" w:fill="FFFFFF"/>
        </w:rPr>
        <w:lastRenderedPageBreak/>
        <w:t>resulting in agrarian conflicts between indigenous peoples, governments, and private investors.</w:t>
      </w:r>
    </w:p>
    <w:p w14:paraId="447A3333" w14:textId="77777777" w:rsidR="00C626BD" w:rsidRPr="00745360" w:rsidRDefault="00C626BD" w:rsidP="00FE5706">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There is a fundamental difference between the national regulatory framework and the practice of customary law norms in natural resource management</w:t>
      </w:r>
      <w:r w:rsidR="00F37483" w:rsidRPr="00745360">
        <w:rPr>
          <w:rFonts w:asciiTheme="majorHAnsi" w:hAnsiTheme="majorHAnsi" w:cs="Tahoma"/>
          <w:color w:val="000000" w:themeColor="text1"/>
          <w:sz w:val="24"/>
          <w:szCs w:val="24"/>
          <w:shd w:val="clear" w:color="auto" w:fill="FFFFFF"/>
        </w:rPr>
        <w:t>,</w:t>
      </w:r>
      <w:r w:rsidR="00E93EE7" w:rsidRPr="00745360">
        <w:rPr>
          <w:rStyle w:val="FootnoteReference"/>
          <w:rFonts w:asciiTheme="majorHAnsi" w:hAnsiTheme="majorHAnsi" w:cs="Tahoma"/>
          <w:color w:val="000000" w:themeColor="text1"/>
          <w:sz w:val="24"/>
          <w:szCs w:val="24"/>
          <w:shd w:val="clear" w:color="auto" w:fill="FFFFFF"/>
        </w:rPr>
        <w:footnoteReference w:id="15"/>
      </w:r>
      <w:r w:rsidR="00E93EE7"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Other academic studies confirm that the relationship between indigenous peoples and their natural resources has a strong historical and cultural dimension</w:t>
      </w:r>
      <w:r w:rsidR="00AC07CD" w:rsidRPr="00745360">
        <w:rPr>
          <w:rFonts w:asciiTheme="majorHAnsi" w:hAnsiTheme="majorHAnsi" w:cs="Tahoma"/>
          <w:color w:val="000000" w:themeColor="text1"/>
          <w:sz w:val="24"/>
          <w:szCs w:val="24"/>
          <w:shd w:val="clear" w:color="auto" w:fill="FFFFFF"/>
        </w:rPr>
        <w:t>.</w:t>
      </w:r>
      <w:r w:rsidR="007D1A39" w:rsidRPr="00745360">
        <w:rPr>
          <w:rStyle w:val="FootnoteReference"/>
          <w:rFonts w:asciiTheme="majorHAnsi" w:hAnsiTheme="majorHAnsi" w:cs="Tahoma"/>
          <w:color w:val="000000" w:themeColor="text1"/>
          <w:sz w:val="24"/>
          <w:szCs w:val="24"/>
          <w:shd w:val="clear" w:color="auto" w:fill="FFFFFF"/>
        </w:rPr>
        <w:footnoteReference w:id="16"/>
      </w:r>
      <w:r w:rsidR="00AC07CD"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So that every legal protection effort must consider socio-cultural sustainability and maintain ecological balance, this linkage positions customary rights not only as agrarian rights but also as a form of collective rights inherent in the social structure of indigenous peoples themselves.</w:t>
      </w:r>
    </w:p>
    <w:p w14:paraId="7A3B0E13" w14:textId="6C213508" w:rsidR="00126272" w:rsidRPr="00745360" w:rsidRDefault="00C626BD" w:rsidP="00126272">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The recognition of the rights of indigenous peoples to natural resources in the Indonesian legal system has a solid constitutional basis. This constitutional recognition is also strengthened through Article 28I paragraph (3) of the 1945 Constitution which affirms the state's obligation to respect cultural identity and the rights of traditional communities. In the context of natural resource management, these regulations are closely correlated with the principle of state control over land, water, and natural resources, which in practice often raises dynamics and tensions between state authority and the collective rights of customary law communities over their customary territories.</w:t>
      </w:r>
      <w:r w:rsidR="00F60952" w:rsidRPr="00745360">
        <w:rPr>
          <w:rStyle w:val="FootnoteReference"/>
          <w:rFonts w:asciiTheme="majorHAnsi" w:hAnsiTheme="majorHAnsi" w:cs="Tahoma"/>
          <w:color w:val="000000" w:themeColor="text1"/>
          <w:sz w:val="24"/>
          <w:szCs w:val="24"/>
          <w:shd w:val="clear" w:color="auto" w:fill="FFFFFF"/>
        </w:rPr>
        <w:footnoteReference w:id="17"/>
      </w:r>
    </w:p>
    <w:p w14:paraId="3847C681" w14:textId="1A624896" w:rsidR="001E696D" w:rsidRPr="00745360" w:rsidRDefault="00C626BD" w:rsidP="001E696D">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An important development in strengthening the legal position of indigenous peoples occurred through the Constitutional Court Decision Number 35/PUU-X/2012 which emphasized that customary forests are no longer part of state forests, but forests that are within the territory of customary law communities. This ruling corrects the legal construction in the Forestry Law that previously included </w:t>
      </w:r>
      <w:r w:rsidRPr="00745360">
        <w:rPr>
          <w:rFonts w:asciiTheme="majorHAnsi" w:hAnsiTheme="majorHAnsi" w:cs="Tahoma"/>
          <w:color w:val="000000" w:themeColor="text1"/>
          <w:sz w:val="24"/>
          <w:szCs w:val="24"/>
          <w:shd w:val="clear" w:color="auto" w:fill="FFFFFF"/>
        </w:rPr>
        <w:lastRenderedPageBreak/>
        <w:t>customary forests as part of state forests, thus causing various conflicts of territorial control between indigenous peoples, the government, and forestry business license holders. With this ruling, the Constitutional Court affirmed that the existence of customary forests is a consequence of the recognition of the customary rights of customary law communities in the national legal system</w:t>
      </w:r>
      <w:r w:rsidR="001378C1" w:rsidRPr="00745360">
        <w:rPr>
          <w:rFonts w:asciiTheme="majorHAnsi" w:hAnsiTheme="majorHAnsi" w:cs="Tahoma"/>
          <w:color w:val="000000" w:themeColor="text1"/>
          <w:sz w:val="24"/>
          <w:szCs w:val="24"/>
          <w:shd w:val="clear" w:color="auto" w:fill="FFFFFF"/>
        </w:rPr>
        <w:t>.</w:t>
      </w:r>
      <w:r w:rsidR="00F8371D" w:rsidRPr="00745360">
        <w:rPr>
          <w:rStyle w:val="FootnoteReference"/>
          <w:rFonts w:asciiTheme="majorHAnsi" w:hAnsiTheme="majorHAnsi" w:cs="Tahoma"/>
          <w:color w:val="000000" w:themeColor="text1"/>
          <w:sz w:val="24"/>
          <w:szCs w:val="24"/>
          <w:shd w:val="clear" w:color="auto" w:fill="FFFFFF"/>
        </w:rPr>
        <w:footnoteReference w:id="18"/>
      </w:r>
    </w:p>
    <w:p w14:paraId="336E95B3" w14:textId="2FAE166C" w:rsidR="006C58D2" w:rsidRPr="00745360" w:rsidRDefault="00C626BD" w:rsidP="006C58D2">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Through this ruling, the Constitutional Court conducted a constitutional reinterpretation of the provisions in Law Number 41 of 1999 concerning Forestry, especially related to the definition of customary forests. The court emphasized that customary forests are no longer qualified as part of state forests, but as forests that are within the territory of customary law communities. Therefore, customary forests are constructed as part of the rights of the customary rights of customary law communities, so that their existence can no longer be positioned solely as an object of state control</w:t>
      </w:r>
      <w:r w:rsidR="001E696D" w:rsidRPr="00745360">
        <w:rPr>
          <w:rFonts w:asciiTheme="majorHAnsi" w:hAnsiTheme="majorHAnsi" w:cs="Tahoma"/>
          <w:color w:val="000000" w:themeColor="text1"/>
          <w:sz w:val="24"/>
          <w:szCs w:val="24"/>
          <w:shd w:val="clear" w:color="auto" w:fill="FFFFFF"/>
        </w:rPr>
        <w:t>.</w:t>
      </w:r>
      <w:r w:rsidR="006C58D2" w:rsidRPr="00745360">
        <w:rPr>
          <w:rStyle w:val="FootnoteReference"/>
          <w:rFonts w:asciiTheme="majorHAnsi" w:hAnsiTheme="majorHAnsi" w:cs="Tahoma"/>
          <w:color w:val="000000" w:themeColor="text1"/>
          <w:sz w:val="24"/>
          <w:szCs w:val="24"/>
          <w:shd w:val="clear" w:color="auto" w:fill="FFFFFF"/>
        </w:rPr>
        <w:footnoteReference w:id="19"/>
      </w:r>
      <w:r w:rsidR="006C58D2"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 xml:space="preserve">Doctrinally, the ruling revises the normative construction previously adopted by the Forestry Law, which places customary forests as part of state forests whose management is under state authority. </w:t>
      </w:r>
    </w:p>
    <w:p w14:paraId="094E45F7" w14:textId="7E685899" w:rsidR="006C58D2" w:rsidRPr="00745360" w:rsidRDefault="00C626BD" w:rsidP="006C58D2">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The construction has been one of the sources of tenure conflicts between customary law communities, the government, and forestry business license holders because it negates the customary rights of indigenous peoples over forest areas that they have historically and sociologically managed for generations. By removing the phrase "state" from the definition of customary forests, the Constitutional Court implicitly affirmed that state control over forest resources is not absolute, but must be limited by the recognition of the collective rights of customary law communities guaranteed by the constitution</w:t>
      </w:r>
      <w:r w:rsidR="006C58D2" w:rsidRPr="00745360">
        <w:rPr>
          <w:rFonts w:asciiTheme="majorHAnsi" w:hAnsiTheme="majorHAnsi" w:cs="Tahoma"/>
          <w:color w:val="000000" w:themeColor="text1"/>
          <w:sz w:val="24"/>
          <w:szCs w:val="24"/>
          <w:shd w:val="clear" w:color="auto" w:fill="FFFFFF"/>
        </w:rPr>
        <w:t>.</w:t>
      </w:r>
      <w:r w:rsidR="006C58D2" w:rsidRPr="00745360">
        <w:rPr>
          <w:rStyle w:val="FootnoteReference"/>
          <w:rFonts w:asciiTheme="majorHAnsi" w:hAnsiTheme="majorHAnsi" w:cs="Tahoma"/>
          <w:color w:val="000000" w:themeColor="text1"/>
          <w:sz w:val="24"/>
          <w:szCs w:val="24"/>
          <w:shd w:val="clear" w:color="auto" w:fill="FFFFFF"/>
        </w:rPr>
        <w:footnoteReference w:id="20"/>
      </w:r>
    </w:p>
    <w:p w14:paraId="00B2A702" w14:textId="52542DD9" w:rsidR="006C58D2" w:rsidRPr="00745360" w:rsidRDefault="00C626BD" w:rsidP="006C58D2">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The decision has important implications for the repositioning of the relationship between the state and customary law communities in the management </w:t>
      </w:r>
      <w:r w:rsidRPr="00745360">
        <w:rPr>
          <w:rFonts w:asciiTheme="majorHAnsi" w:hAnsiTheme="majorHAnsi" w:cs="Tahoma"/>
          <w:color w:val="000000" w:themeColor="text1"/>
          <w:sz w:val="24"/>
          <w:szCs w:val="24"/>
          <w:shd w:val="clear" w:color="auto" w:fill="FFFFFF"/>
        </w:rPr>
        <w:lastRenderedPageBreak/>
        <w:t>of forest areas. The Constitutional Court affirmed that the recognition of customary forests is a logical consequence of constitutional recognition of the existence of customary law communities and their traditional rights. The state no longer acts as the sole owner of customary forest areas, but as a party that is obliged to ensure the recognition, protection, and respect for the customary rights of customary law communities as long as they are still alive and recognized according to the law</w:t>
      </w:r>
      <w:r w:rsidR="00B665AE" w:rsidRPr="00745360">
        <w:rPr>
          <w:rFonts w:asciiTheme="majorHAnsi" w:hAnsiTheme="majorHAnsi" w:cs="Tahoma"/>
          <w:color w:val="000000" w:themeColor="text1"/>
          <w:sz w:val="24"/>
          <w:szCs w:val="24"/>
          <w:shd w:val="clear" w:color="auto" w:fill="FFFFFF"/>
        </w:rPr>
        <w:t>.</w:t>
      </w:r>
      <w:r w:rsidR="00DA7F9B" w:rsidRPr="00745360">
        <w:rPr>
          <w:rStyle w:val="FootnoteReference"/>
          <w:rFonts w:asciiTheme="majorHAnsi" w:hAnsiTheme="majorHAnsi" w:cs="Tahoma"/>
          <w:color w:val="000000" w:themeColor="text1"/>
          <w:sz w:val="24"/>
          <w:szCs w:val="24"/>
          <w:shd w:val="clear" w:color="auto" w:fill="FFFFFF"/>
        </w:rPr>
        <w:footnoteReference w:id="21"/>
      </w:r>
      <w:r w:rsidR="00DA7F9B" w:rsidRPr="00745360">
        <w:rPr>
          <w:rFonts w:asciiTheme="majorHAnsi" w:hAnsiTheme="majorHAnsi" w:cs="Tahoma"/>
          <w:color w:val="000000" w:themeColor="text1"/>
          <w:sz w:val="24"/>
          <w:szCs w:val="24"/>
          <w:shd w:val="clear" w:color="auto" w:fill="FFFFFF"/>
        </w:rPr>
        <w:t xml:space="preserve"> </w:t>
      </w:r>
    </w:p>
    <w:p w14:paraId="52D90E78" w14:textId="7FA2F4BC" w:rsidR="00E32704" w:rsidRPr="00745360" w:rsidRDefault="00C626BD" w:rsidP="00E32704">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Although the constitution and various court decisions have provided a basis for recognition of customary law communities, the implementation of such recognition in practice still faces various normative and administrative obstacles. In Indonesia's positive legal regime, the determination of customary territories generally requires formal recognition from local governments, either through local regulations or regional head decisions, as a prerequisite before the territory can be recognized by the central government as customary forests. Consequently, the recognition mechanism is procedural and tiered, so that the existence of customary law communities and their customary territories does not necessarily automatically obtain legal protection</w:t>
      </w:r>
      <w:r w:rsidR="00B74BAD" w:rsidRPr="00745360">
        <w:rPr>
          <w:rFonts w:asciiTheme="majorHAnsi" w:hAnsiTheme="majorHAnsi" w:cs="Tahoma"/>
          <w:color w:val="000000" w:themeColor="text1"/>
          <w:sz w:val="24"/>
          <w:szCs w:val="24"/>
          <w:shd w:val="clear" w:color="auto" w:fill="FFFFFF"/>
        </w:rPr>
        <w:t>.</w:t>
      </w:r>
      <w:r w:rsidR="00B74BAD" w:rsidRPr="00745360">
        <w:rPr>
          <w:rStyle w:val="FootnoteReference"/>
          <w:rFonts w:asciiTheme="majorHAnsi" w:hAnsiTheme="majorHAnsi" w:cs="Tahoma"/>
          <w:color w:val="000000" w:themeColor="text1"/>
          <w:sz w:val="24"/>
          <w:szCs w:val="24"/>
          <w:shd w:val="clear" w:color="auto" w:fill="FFFFFF"/>
        </w:rPr>
        <w:footnoteReference w:id="22"/>
      </w:r>
    </w:p>
    <w:p w14:paraId="0AFA3561" w14:textId="53E74256" w:rsidR="009D4305" w:rsidRPr="00745360" w:rsidRDefault="00C626BD" w:rsidP="00E32704">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This legal construction shows that state recognition of indigenous peoples still emphasizes the aspect of administrative legalization rather than substantive protection of indigenous peoples' collective rights to their land and natural resources. In many cases, the lengthy verification and determination process actually slows down the realization of indigenous peoples' rights, while opening up space for the intervention of political and economic interests in the recognition process. Bedner and Arizona assert that customary identity-based recognition strategies in Indonesian land law often yield limited achievement because state </w:t>
      </w:r>
      <w:r w:rsidRPr="00745360">
        <w:rPr>
          <w:rFonts w:asciiTheme="majorHAnsi" w:hAnsiTheme="majorHAnsi" w:cs="Tahoma"/>
          <w:color w:val="000000" w:themeColor="text1"/>
          <w:sz w:val="24"/>
          <w:szCs w:val="24"/>
          <w:shd w:val="clear" w:color="auto" w:fill="FFFFFF"/>
        </w:rPr>
        <w:lastRenderedPageBreak/>
        <w:t>recognition remains dependent on bureaucratic mechanisms and changing government policies</w:t>
      </w:r>
      <w:r w:rsidR="00A46601" w:rsidRPr="00745360">
        <w:rPr>
          <w:rFonts w:asciiTheme="majorHAnsi" w:hAnsiTheme="majorHAnsi" w:cs="Tahoma"/>
          <w:color w:val="000000" w:themeColor="text1"/>
          <w:sz w:val="24"/>
          <w:szCs w:val="24"/>
          <w:shd w:val="clear" w:color="auto" w:fill="FFFFFF"/>
        </w:rPr>
        <w:t>.</w:t>
      </w:r>
      <w:r w:rsidR="00A46601" w:rsidRPr="00745360">
        <w:rPr>
          <w:rStyle w:val="FootnoteReference"/>
          <w:rFonts w:asciiTheme="majorHAnsi" w:hAnsiTheme="majorHAnsi" w:cs="Tahoma"/>
          <w:color w:val="000000" w:themeColor="text1"/>
          <w:sz w:val="24"/>
          <w:szCs w:val="24"/>
          <w:shd w:val="clear" w:color="auto" w:fill="FFFFFF"/>
        </w:rPr>
        <w:footnoteReference w:id="23"/>
      </w:r>
    </w:p>
    <w:p w14:paraId="76A9EF38" w14:textId="726E6D96" w:rsidR="00A46601" w:rsidRPr="00745360" w:rsidRDefault="00C626BD" w:rsidP="00E32704">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This condition also reflects the fragmentation of regulations across sectors between agrarian law, forestry law, and economic development policy. The inconsistency between these legal regimes often leads to normative conflicts in natural resource management practices, especially when investment interests, natural resource exploitation, and development projects are placed as a priority for state policy</w:t>
      </w:r>
      <w:r w:rsidR="00484F2C" w:rsidRPr="00745360">
        <w:rPr>
          <w:rFonts w:asciiTheme="majorHAnsi" w:hAnsiTheme="majorHAnsi" w:cs="Tahoma"/>
          <w:color w:val="000000" w:themeColor="text1"/>
          <w:sz w:val="24"/>
          <w:szCs w:val="24"/>
          <w:shd w:val="clear" w:color="auto" w:fill="FFFFFF"/>
        </w:rPr>
        <w:t>.</w:t>
      </w:r>
      <w:r w:rsidR="00484F2C" w:rsidRPr="00745360">
        <w:rPr>
          <w:rStyle w:val="FootnoteReference"/>
          <w:rFonts w:asciiTheme="majorHAnsi" w:hAnsiTheme="majorHAnsi" w:cs="Tahoma"/>
          <w:color w:val="000000" w:themeColor="text1"/>
          <w:sz w:val="24"/>
          <w:szCs w:val="24"/>
          <w:shd w:val="clear" w:color="auto" w:fill="FFFFFF"/>
        </w:rPr>
        <w:footnoteReference w:id="24"/>
      </w:r>
      <w:r w:rsidR="00484F2C"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As a result, the protection of customary law people's rights to their customary territories is often in a subordinate position compared to the economic and development interests encouraged by the state.</w:t>
      </w:r>
    </w:p>
    <w:p w14:paraId="0A539884" w14:textId="77777777" w:rsidR="00C626BD" w:rsidRPr="00745360" w:rsidRDefault="00C626BD" w:rsidP="00AA2FEF">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t xml:space="preserve">In addition to representing a land tenure system based on customary rights, the practice of natural resource management by indigenous peoples in </w:t>
      </w:r>
      <w:proofErr w:type="spellStart"/>
      <w:r w:rsidRPr="00745360">
        <w:rPr>
          <w:rFonts w:asciiTheme="majorHAnsi" w:hAnsiTheme="majorHAnsi" w:cs="Tahoma"/>
          <w:color w:val="000000" w:themeColor="text1"/>
          <w:sz w:val="24"/>
          <w:szCs w:val="24"/>
          <w:shd w:val="clear" w:color="auto" w:fill="FFFFFF"/>
        </w:rPr>
        <w:t>Jelutih</w:t>
      </w:r>
      <w:proofErr w:type="spellEnd"/>
      <w:r w:rsidRPr="00745360">
        <w:rPr>
          <w:rFonts w:asciiTheme="majorHAnsi" w:hAnsiTheme="majorHAnsi" w:cs="Tahoma"/>
          <w:color w:val="000000" w:themeColor="text1"/>
          <w:sz w:val="24"/>
          <w:szCs w:val="24"/>
          <w:shd w:val="clear" w:color="auto" w:fill="FFFFFF"/>
        </w:rPr>
        <w:t xml:space="preserve"> Village also reflects the existence of local wisdom in environmental management that is oriented towards the principles of ecological balance, sustainability of natural resources, and collective responsibility for the environment. Studies have shown that indigenous people-based natural resource management systems generally contain social mechanisms that are able to maintain ecosystem sustainability through customary rules, social sanctions, and management practices that are adaptive to local environmental conditions</w:t>
      </w:r>
      <w:r w:rsidR="000D2E18" w:rsidRPr="00745360">
        <w:rPr>
          <w:rFonts w:asciiTheme="majorHAnsi" w:hAnsiTheme="majorHAnsi" w:cs="Tahoma"/>
          <w:color w:val="000000" w:themeColor="text1"/>
          <w:sz w:val="24"/>
          <w:szCs w:val="24"/>
          <w:shd w:val="clear" w:color="auto" w:fill="FFFFFF"/>
        </w:rPr>
        <w:t>.</w:t>
      </w:r>
      <w:r w:rsidR="00476D26" w:rsidRPr="00745360">
        <w:rPr>
          <w:rStyle w:val="FootnoteReference"/>
          <w:rFonts w:asciiTheme="majorHAnsi" w:hAnsiTheme="majorHAnsi" w:cs="Tahoma"/>
          <w:color w:val="000000" w:themeColor="text1"/>
          <w:sz w:val="24"/>
          <w:szCs w:val="24"/>
          <w:shd w:val="clear" w:color="auto" w:fill="FFFFFF"/>
        </w:rPr>
        <w:footnoteReference w:id="25"/>
      </w:r>
      <w:r w:rsidR="00CF3A84"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The customary law system functions not only as a social norm that regulates relations between community members, but also as an institutional instrument that regulates the pattern of control, utilization, and protection of natural resources within the framework of ecological sustainability.</w:t>
      </w:r>
    </w:p>
    <w:p w14:paraId="11AFB6DE" w14:textId="77777777" w:rsidR="00C626BD" w:rsidRPr="00745360" w:rsidRDefault="00C626BD" w:rsidP="0036589C">
      <w:pPr>
        <w:spacing w:after="0" w:line="360" w:lineRule="auto"/>
        <w:ind w:firstLine="720"/>
        <w:jc w:val="both"/>
        <w:rPr>
          <w:rFonts w:asciiTheme="majorHAnsi" w:hAnsiTheme="majorHAnsi" w:cs="Tahoma"/>
          <w:color w:val="000000" w:themeColor="text1"/>
          <w:sz w:val="24"/>
          <w:szCs w:val="24"/>
          <w:shd w:val="clear" w:color="auto" w:fill="FFFFFF"/>
        </w:rPr>
      </w:pPr>
      <w:r w:rsidRPr="00745360">
        <w:rPr>
          <w:rFonts w:asciiTheme="majorHAnsi" w:hAnsiTheme="majorHAnsi" w:cs="Tahoma"/>
          <w:color w:val="000000" w:themeColor="text1"/>
          <w:sz w:val="24"/>
          <w:szCs w:val="24"/>
          <w:shd w:val="clear" w:color="auto" w:fill="FFFFFF"/>
        </w:rPr>
        <w:lastRenderedPageBreak/>
        <w:t xml:space="preserve">The existence of customary law in </w:t>
      </w:r>
      <w:proofErr w:type="spellStart"/>
      <w:r w:rsidRPr="00745360">
        <w:rPr>
          <w:rFonts w:asciiTheme="majorHAnsi" w:hAnsiTheme="majorHAnsi" w:cs="Tahoma"/>
          <w:color w:val="000000" w:themeColor="text1"/>
          <w:sz w:val="24"/>
          <w:szCs w:val="24"/>
          <w:shd w:val="clear" w:color="auto" w:fill="FFFFFF"/>
        </w:rPr>
        <w:t>Jelutih</w:t>
      </w:r>
      <w:proofErr w:type="spellEnd"/>
      <w:r w:rsidRPr="00745360">
        <w:rPr>
          <w:rFonts w:asciiTheme="majorHAnsi" w:hAnsiTheme="majorHAnsi" w:cs="Tahoma"/>
          <w:color w:val="000000" w:themeColor="text1"/>
          <w:sz w:val="24"/>
          <w:szCs w:val="24"/>
          <w:shd w:val="clear" w:color="auto" w:fill="FFFFFF"/>
        </w:rPr>
        <w:t xml:space="preserve"> Village can be understood as part of a community-based natural resource governance system rooted in the social structure of indigenous peoples. The system forms a collective regulatory mechanism that integrates legal, social, and ecological dimensions in the management of customary territories</w:t>
      </w:r>
      <w:r w:rsidR="00C41FFA" w:rsidRPr="00745360">
        <w:rPr>
          <w:rFonts w:asciiTheme="majorHAnsi" w:hAnsiTheme="majorHAnsi" w:cs="Tahoma"/>
          <w:color w:val="000000" w:themeColor="text1"/>
          <w:sz w:val="24"/>
          <w:szCs w:val="24"/>
          <w:shd w:val="clear" w:color="auto" w:fill="FFFFFF"/>
        </w:rPr>
        <w:t>.</w:t>
      </w:r>
      <w:r w:rsidR="00C41FFA" w:rsidRPr="00745360">
        <w:rPr>
          <w:rStyle w:val="FootnoteReference"/>
          <w:rFonts w:asciiTheme="majorHAnsi" w:hAnsiTheme="majorHAnsi" w:cs="Tahoma"/>
          <w:color w:val="000000" w:themeColor="text1"/>
          <w:sz w:val="24"/>
          <w:szCs w:val="24"/>
          <w:shd w:val="clear" w:color="auto" w:fill="FFFFFF"/>
        </w:rPr>
        <w:footnoteReference w:id="26"/>
      </w:r>
      <w:r w:rsidR="00C41FFA" w:rsidRPr="00745360">
        <w:rPr>
          <w:rFonts w:asciiTheme="majorHAnsi" w:hAnsiTheme="majorHAnsi" w:cs="Tahoma"/>
          <w:color w:val="000000" w:themeColor="text1"/>
          <w:sz w:val="24"/>
          <w:szCs w:val="24"/>
          <w:shd w:val="clear" w:color="auto" w:fill="FFFFFF"/>
        </w:rPr>
        <w:t xml:space="preserve"> </w:t>
      </w:r>
      <w:r w:rsidRPr="00745360">
        <w:rPr>
          <w:rFonts w:asciiTheme="majorHAnsi" w:hAnsiTheme="majorHAnsi" w:cs="Tahoma"/>
          <w:color w:val="000000" w:themeColor="text1"/>
          <w:sz w:val="24"/>
          <w:szCs w:val="24"/>
          <w:shd w:val="clear" w:color="auto" w:fill="FFFFFF"/>
        </w:rPr>
        <w:t>The integration of indigenous peoples' local wisdom with the national legal regulatory framework is an important factor in realizing effective legal protection of indigenous territories and ensuring the sustainability of natural resource management at the local level. Without such integration, the regulation of natural resources has the potential to cause conflicts of authority and legal uncertainty between the state legal system and the customary law system that lives in the community.</w:t>
      </w:r>
    </w:p>
    <w:p w14:paraId="37320072" w14:textId="1D072B08" w:rsidR="00476D26" w:rsidRPr="00745360" w:rsidRDefault="00476D26" w:rsidP="00E32704">
      <w:pPr>
        <w:spacing w:after="0" w:line="360" w:lineRule="auto"/>
        <w:ind w:firstLine="720"/>
        <w:jc w:val="both"/>
        <w:rPr>
          <w:rFonts w:asciiTheme="majorHAnsi" w:hAnsiTheme="majorHAnsi" w:cs="Tahoma"/>
          <w:color w:val="000000" w:themeColor="text1"/>
          <w:sz w:val="24"/>
          <w:szCs w:val="24"/>
          <w:shd w:val="clear" w:color="auto" w:fill="FFFFFF"/>
        </w:rPr>
      </w:pPr>
    </w:p>
    <w:p w14:paraId="7C8338A9" w14:textId="77777777" w:rsidR="00927B30" w:rsidRPr="00745360" w:rsidRDefault="00927B30" w:rsidP="00960DA1">
      <w:pPr>
        <w:spacing w:after="0" w:line="360" w:lineRule="auto"/>
        <w:jc w:val="both"/>
        <w:rPr>
          <w:rFonts w:asciiTheme="majorHAnsi" w:eastAsia="Times New Roman" w:hAnsiTheme="majorHAnsi" w:cs="Times New Roman"/>
          <w:b/>
          <w:color w:val="000000" w:themeColor="text1"/>
          <w:sz w:val="24"/>
          <w:szCs w:val="24"/>
        </w:rPr>
      </w:pPr>
      <w:r w:rsidRPr="00240151">
        <w:rPr>
          <w:rFonts w:asciiTheme="majorHAnsi" w:eastAsia="Times New Roman" w:hAnsiTheme="majorHAnsi" w:cs="Times New Roman"/>
          <w:b/>
          <w:color w:val="000000" w:themeColor="text1"/>
          <w:sz w:val="24"/>
          <w:szCs w:val="24"/>
        </w:rPr>
        <w:t>Harmonization of Customary Law and Investment Policy in Natural Resources Governance Based on Social Justice and Sustainability</w:t>
      </w:r>
    </w:p>
    <w:p w14:paraId="2C4C52A1" w14:textId="77777777" w:rsidR="00927B30" w:rsidRPr="00745360" w:rsidRDefault="00927B30" w:rsidP="00524A52">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transformation of natural resource governance in the era of economic globalization puts the state in a strategic position as a regulator as well as an investment facilitator. The state is obliged to create a conducive investment climate to encourage economic growth and national development. The state also has a constitutional responsibility to protect the rights of indigenous peoples who have historically had a collective relationship with the territories and natural resources on which their lives are based. The interaction between these two interests gives birth to the need for a legal construction that is able to harmonize the interests of economic development with the protection of the rights of indigenous peoples.</w:t>
      </w:r>
    </w:p>
    <w:p w14:paraId="347E8B37" w14:textId="75ED6B5E" w:rsidR="00240DFC" w:rsidRPr="00745360" w:rsidRDefault="00927B30" w:rsidP="00240DFC">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In the perspective of contemporary legal theory, the relationship between customary law and state law in natural resource management can be understood through the framework of legal pluralism. This concept recognizes that in a society </w:t>
      </w:r>
      <w:r w:rsidRPr="00745360">
        <w:rPr>
          <w:rFonts w:asciiTheme="majorHAnsi" w:eastAsia="Times New Roman" w:hAnsiTheme="majorHAnsi" w:cs="Times New Roman"/>
          <w:bCs/>
          <w:color w:val="000000" w:themeColor="text1"/>
          <w:sz w:val="24"/>
          <w:szCs w:val="24"/>
        </w:rPr>
        <w:lastRenderedPageBreak/>
        <w:t>there can be more than one legal system that has different social legitimacy and regulatory functions. In the context of developing countries with complex cultural diversity and social structures, legal pluralism is often reflected in the interaction between state law, customary law, and international norms related to the protection of indigenous peoples' rights and the environment. In practice, such legal pluralism does not always result in harmony, but it often creates normative tensions between different legal systems. This can be seen in various conflicts over the control of natural resources involving indigenous peoples, governments, and business actors</w:t>
      </w:r>
      <w:r w:rsidR="00B15BD3" w:rsidRPr="00745360">
        <w:rPr>
          <w:rFonts w:asciiTheme="majorHAnsi" w:eastAsia="Times New Roman" w:hAnsiTheme="majorHAnsi" w:cs="Times New Roman"/>
          <w:bCs/>
          <w:color w:val="000000" w:themeColor="text1"/>
          <w:sz w:val="24"/>
          <w:szCs w:val="24"/>
        </w:rPr>
        <w:t>.</w:t>
      </w:r>
      <w:r w:rsidR="009E5AA1" w:rsidRPr="00745360">
        <w:rPr>
          <w:rStyle w:val="FootnoteReference"/>
          <w:rFonts w:asciiTheme="majorHAnsi" w:eastAsia="Times New Roman" w:hAnsiTheme="majorHAnsi" w:cs="Times New Roman"/>
          <w:bCs/>
          <w:color w:val="000000" w:themeColor="text1"/>
          <w:sz w:val="24"/>
          <w:szCs w:val="24"/>
        </w:rPr>
        <w:footnoteReference w:id="27"/>
      </w:r>
    </w:p>
    <w:p w14:paraId="27ACD80C" w14:textId="576EF502" w:rsidR="009E5AA1" w:rsidRPr="00745360" w:rsidRDefault="00927B30" w:rsidP="00240DFC">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These tensions especially arise when investment-based natural resource management policies do not fully consider the existence of customary legal systems living in communities. Policies oriented towards economic exploitation often place indigenous territories as an object of investment without involving indigenous peoples in the decision-making process. This condition shows an imbalance in the structure of legal power that places state law as the dominant system, while customary law is in a subordinate position. In such a context, legal harmonization is an urgent need to ensure that the management of natural resources is not only oriented towards economic growth, but also pays attention to the principles of social justice and environmental sustainability</w:t>
      </w:r>
      <w:r w:rsidR="009E5AA1" w:rsidRPr="00745360">
        <w:rPr>
          <w:rFonts w:asciiTheme="majorHAnsi" w:eastAsia="Times New Roman" w:hAnsiTheme="majorHAnsi" w:cs="Times New Roman"/>
          <w:bCs/>
          <w:color w:val="000000" w:themeColor="text1"/>
          <w:sz w:val="24"/>
          <w:szCs w:val="24"/>
        </w:rPr>
        <w:t>.</w:t>
      </w:r>
    </w:p>
    <w:p w14:paraId="7182ABF4" w14:textId="77777777" w:rsidR="00927B30" w:rsidRPr="00745360" w:rsidRDefault="00927B30" w:rsidP="00705344">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Social justice is one of the fundamental principles in the modern legal system that demands the equitable distribution of development benefits and the protection of historically vulnerable groups. In the context of natural resource management, the concept of social justice is not only concerned with the sharing of economic benefits from investment activities, but also includes the recognition of indigenous peoples' collective rights to the territories and natural resources they manage for generations.</w:t>
      </w:r>
    </w:p>
    <w:p w14:paraId="752C2E39" w14:textId="77777777" w:rsidR="00927B30" w:rsidRPr="00745360" w:rsidRDefault="00927B30" w:rsidP="00C74769">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lastRenderedPageBreak/>
        <w:t>In the environmental and development law literature, social justice is often associated with the concept of environmental justice, which emphasizes the importance of protecting local communities from the negative impacts of natural resource exploitation. This concept emphasizes that development policies must not sacrifice the rights of indigenous peoples for the sake of short-term economic interests. Instead, development must be designed in such a way that it can provide economic benefits while strengthening protection for indigenous peoples and the environment.</w:t>
      </w:r>
    </w:p>
    <w:p w14:paraId="1750ABF4" w14:textId="4888EAA3" w:rsidR="00927B30" w:rsidRPr="00745360" w:rsidRDefault="00927B30" w:rsidP="00372B82">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Research on natural resource governance shows that indigenous peoples are often the most vulnerable groups in investment-based development policies. This vulnerability is caused by various factors, including overlapping claims to natural resource areas</w:t>
      </w:r>
      <w:r w:rsidR="00643837" w:rsidRPr="00745360">
        <w:rPr>
          <w:rFonts w:asciiTheme="majorHAnsi" w:eastAsia="Times New Roman" w:hAnsiTheme="majorHAnsi" w:cs="Times New Roman"/>
          <w:bCs/>
          <w:color w:val="000000" w:themeColor="text1"/>
          <w:sz w:val="24"/>
          <w:szCs w:val="24"/>
        </w:rPr>
        <w:t>,</w:t>
      </w:r>
      <w:r w:rsidR="00B15C3B" w:rsidRPr="00745360">
        <w:rPr>
          <w:rStyle w:val="FootnoteReference"/>
          <w:rFonts w:asciiTheme="majorHAnsi" w:eastAsia="Times New Roman" w:hAnsiTheme="majorHAnsi" w:cs="Times New Roman"/>
          <w:bCs/>
          <w:color w:val="000000" w:themeColor="text1"/>
          <w:sz w:val="24"/>
          <w:szCs w:val="24"/>
        </w:rPr>
        <w:footnoteReference w:id="28"/>
      </w:r>
      <w:r w:rsidR="00643837" w:rsidRPr="00745360">
        <w:rPr>
          <w:rFonts w:asciiTheme="majorHAnsi" w:eastAsia="Times New Roman" w:hAnsiTheme="majorHAnsi" w:cs="Times New Roman"/>
          <w:bCs/>
          <w:color w:val="000000" w:themeColor="text1"/>
          <w:sz w:val="24"/>
          <w:szCs w:val="24"/>
        </w:rPr>
        <w:t xml:space="preserve"> </w:t>
      </w:r>
      <w:r>
        <w:rPr>
          <w:rFonts w:asciiTheme="majorHAnsi" w:eastAsia="Times New Roman" w:hAnsiTheme="majorHAnsi" w:cs="Times New Roman"/>
          <w:bCs/>
          <w:color w:val="000000" w:themeColor="text1"/>
          <w:sz w:val="24"/>
          <w:szCs w:val="24"/>
        </w:rPr>
        <w:t>t</w:t>
      </w:r>
      <w:r w:rsidRPr="00745360">
        <w:rPr>
          <w:rFonts w:asciiTheme="majorHAnsi" w:eastAsia="Times New Roman" w:hAnsiTheme="majorHAnsi" w:cs="Times New Roman"/>
          <w:bCs/>
          <w:color w:val="000000" w:themeColor="text1"/>
          <w:sz w:val="24"/>
          <w:szCs w:val="24"/>
        </w:rPr>
        <w:t>he weakest legal recognition of customary territories, as well as the lack of participation of indigenous peoples in the decision-making process. This condition shows that the normative recognition of indigenous peoples' rights in various laws and regulations has not been fully followed by effective implementation mechanisms.</w:t>
      </w:r>
    </w:p>
    <w:p w14:paraId="25B83537" w14:textId="787BE3B2" w:rsidR="00B15C3B" w:rsidRPr="00745360" w:rsidRDefault="008B70C2" w:rsidP="00643837">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In the framework of social justice, harmonization between customary law and investment policy must be able to guarantee three main dimensions, namely recognition, participation, and distribution of benefits. Recognition is related to legal recognition of the existence of indigenous peoples and their customary territories. Participation is related to the involvement of indigenous peoples in the decision-making process related to the use of natural resources</w:t>
      </w:r>
      <w:r w:rsidR="003D518F" w:rsidRPr="00745360">
        <w:rPr>
          <w:rFonts w:asciiTheme="majorHAnsi" w:eastAsia="Times New Roman" w:hAnsiTheme="majorHAnsi" w:cs="Times New Roman"/>
          <w:bCs/>
          <w:color w:val="000000" w:themeColor="text1"/>
          <w:sz w:val="24"/>
          <w:szCs w:val="24"/>
        </w:rPr>
        <w:t>.</w:t>
      </w:r>
      <w:r w:rsidR="003D518F" w:rsidRPr="00745360">
        <w:rPr>
          <w:rStyle w:val="FootnoteReference"/>
          <w:rFonts w:asciiTheme="majorHAnsi" w:eastAsia="Times New Roman" w:hAnsiTheme="majorHAnsi" w:cs="Times New Roman"/>
          <w:bCs/>
          <w:color w:val="000000" w:themeColor="text1"/>
          <w:sz w:val="24"/>
          <w:szCs w:val="24"/>
        </w:rPr>
        <w:footnoteReference w:id="29"/>
      </w:r>
      <w:r w:rsidR="003D518F"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Benefit distribution is related to the equitable distribution of economic benefits from investment activities to indigenous peoples as owners of traditional territories</w:t>
      </w:r>
      <w:r w:rsidR="003D518F" w:rsidRPr="00745360">
        <w:rPr>
          <w:rFonts w:asciiTheme="majorHAnsi" w:eastAsia="Times New Roman" w:hAnsiTheme="majorHAnsi" w:cs="Times New Roman"/>
          <w:bCs/>
          <w:color w:val="000000" w:themeColor="text1"/>
          <w:sz w:val="24"/>
          <w:szCs w:val="24"/>
        </w:rPr>
        <w:t>.</w:t>
      </w:r>
    </w:p>
    <w:p w14:paraId="3CB6CD40" w14:textId="5FC855ED" w:rsidR="009B3FC1" w:rsidRPr="00745360" w:rsidRDefault="008B70C2" w:rsidP="00643837">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One of the mechanisms that has developed in an effort to harmonize customary law with investment-based natural resource management policies is the </w:t>
      </w:r>
      <w:r w:rsidRPr="00745360">
        <w:rPr>
          <w:rFonts w:asciiTheme="majorHAnsi" w:eastAsia="Times New Roman" w:hAnsiTheme="majorHAnsi" w:cs="Times New Roman"/>
          <w:bCs/>
          <w:color w:val="000000" w:themeColor="text1"/>
          <w:sz w:val="24"/>
          <w:szCs w:val="24"/>
        </w:rPr>
        <w:lastRenderedPageBreak/>
        <w:t>application of the Free, Prior and Informed Consent (FPIC) principle. This principle affirms that indigenous peoples have the right to freely consent to any development activities that have the potential to affect their customary territories. Within the framework of international law, FPIC is recognized as part of the rights of indigenous peoples listed in various international instruments, including the United Nations Declaration on the Rights of Indigenous Peoples (UNDRIP). This instrument affirms that states must consult and cooperate with indigenous peoples to obtain their consent before implementing development projects that impact indigenous territories</w:t>
      </w:r>
      <w:r w:rsidR="009D3EB3" w:rsidRPr="00745360">
        <w:rPr>
          <w:rFonts w:asciiTheme="majorHAnsi" w:eastAsia="Times New Roman" w:hAnsiTheme="majorHAnsi" w:cs="Times New Roman"/>
          <w:bCs/>
          <w:color w:val="000000" w:themeColor="text1"/>
          <w:sz w:val="24"/>
          <w:szCs w:val="24"/>
        </w:rPr>
        <w:t>.</w:t>
      </w:r>
      <w:r w:rsidR="006E3A58" w:rsidRPr="00745360">
        <w:rPr>
          <w:rStyle w:val="FootnoteReference"/>
          <w:rFonts w:asciiTheme="majorHAnsi" w:eastAsia="Times New Roman" w:hAnsiTheme="majorHAnsi" w:cs="Times New Roman"/>
          <w:bCs/>
          <w:color w:val="000000" w:themeColor="text1"/>
          <w:sz w:val="24"/>
          <w:szCs w:val="24"/>
        </w:rPr>
        <w:footnoteReference w:id="30"/>
      </w:r>
    </w:p>
    <w:p w14:paraId="391C6459" w14:textId="6EDA789C" w:rsidR="003808DA" w:rsidRPr="00745360" w:rsidRDefault="008B70C2" w:rsidP="003808DA">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implementation of FPIC in natural resource management policies has several important functions. First, FPIC provides space for indigenous peoples to voice their interests in the decision-making process. Second, FPIC functions as a protection mechanism against potential violations of indigenous peoples' rights due to investment activities. Third, FPIC can increase the social legitimacy of investment projects because indigenous peoples are actively involved in the planning and implementation process of development activities</w:t>
      </w:r>
      <w:r w:rsidR="003808DA" w:rsidRPr="00745360">
        <w:rPr>
          <w:rFonts w:asciiTheme="majorHAnsi" w:eastAsia="Times New Roman" w:hAnsiTheme="majorHAnsi" w:cs="Times New Roman"/>
          <w:bCs/>
          <w:color w:val="000000" w:themeColor="text1"/>
          <w:sz w:val="24"/>
          <w:szCs w:val="24"/>
        </w:rPr>
        <w:t>.</w:t>
      </w:r>
    </w:p>
    <w:p w14:paraId="21FAEF0A" w14:textId="21FE0655" w:rsidR="009E5AA1" w:rsidRPr="00745360" w:rsidRDefault="008B70C2" w:rsidP="00F61E0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implementation of FPIC in national legal practice still faces various challenges. One of the main obstacles is the lack of comprehensive regulation on the FPIC implementation mechanism in the national legal system. As a result, indigenous peoples' consent is often an administrative formality without a substantive consultation process. Research on the mining legal framework in Indonesia shows that the absence of a clear FPIC mechanism can create a legitimacy gap between indigenous peoples and business actors</w:t>
      </w:r>
      <w:r w:rsidR="00B21CF0" w:rsidRPr="00745360">
        <w:rPr>
          <w:rFonts w:asciiTheme="majorHAnsi" w:eastAsia="Times New Roman" w:hAnsiTheme="majorHAnsi" w:cs="Times New Roman"/>
          <w:bCs/>
          <w:color w:val="000000" w:themeColor="text1"/>
          <w:sz w:val="24"/>
          <w:szCs w:val="24"/>
        </w:rPr>
        <w:t>.</w:t>
      </w:r>
      <w:r w:rsidR="00F61E08" w:rsidRPr="00745360">
        <w:rPr>
          <w:rStyle w:val="FootnoteReference"/>
          <w:rFonts w:asciiTheme="majorHAnsi" w:eastAsia="Times New Roman" w:hAnsiTheme="majorHAnsi" w:cs="Times New Roman"/>
          <w:bCs/>
          <w:color w:val="000000" w:themeColor="text1"/>
          <w:sz w:val="24"/>
          <w:szCs w:val="24"/>
        </w:rPr>
        <w:footnoteReference w:id="31"/>
      </w:r>
    </w:p>
    <w:p w14:paraId="07377BC0" w14:textId="77777777" w:rsidR="008B70C2" w:rsidRPr="00745360" w:rsidRDefault="008B70C2" w:rsidP="00A606A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In addition to social justice, the principle of sustainability is also an important foundation in the harmonization between customary law and investment policy. In </w:t>
      </w:r>
      <w:r w:rsidRPr="00745360">
        <w:rPr>
          <w:rFonts w:asciiTheme="majorHAnsi" w:eastAsia="Times New Roman" w:hAnsiTheme="majorHAnsi" w:cs="Times New Roman"/>
          <w:bCs/>
          <w:color w:val="000000" w:themeColor="text1"/>
          <w:sz w:val="24"/>
          <w:szCs w:val="24"/>
        </w:rPr>
        <w:lastRenderedPageBreak/>
        <w:t xml:space="preserve">the global environmental law discourse, sustainability is understood as an effort to ensure that the use of natural resources is done responsibly without sacrificing the ability of future generations to meet their needs. </w:t>
      </w:r>
    </w:p>
    <w:p w14:paraId="5FBD8BB4" w14:textId="77777777" w:rsidR="00822B5E" w:rsidRPr="00745360" w:rsidRDefault="00822B5E" w:rsidP="0012770D">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Customary law has an important contribution in realizing the principle of sustainability because many customary law systems regulate the use of natural resources based on the values of ecological balance. In many indigenous communities, the exploitation of natural resources is limited by social norms aimed at preserving the environment. Customary-based management systems often include rules on restrictions on resource use, prohibitions on overexploitation, and social sanctions mechanisms for violations of these norms.</w:t>
      </w:r>
    </w:p>
    <w:p w14:paraId="06F0682B" w14:textId="77777777" w:rsidR="00822B5E" w:rsidRPr="00745360" w:rsidRDefault="00822B5E" w:rsidP="00617D29">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Research on community-based natural resource governance shows that integration between local knowledge and customary law systems can improve the effectiveness of environmental management. Management systems based on local community participation are often more responsive to local ecological conditions than management models that are entirely based on state regulations</w:t>
      </w:r>
      <w:r w:rsidR="008223C8" w:rsidRPr="00745360">
        <w:rPr>
          <w:rFonts w:asciiTheme="majorHAnsi" w:eastAsia="Times New Roman" w:hAnsiTheme="majorHAnsi" w:cs="Times New Roman"/>
          <w:bCs/>
          <w:color w:val="000000" w:themeColor="text1"/>
          <w:sz w:val="24"/>
          <w:szCs w:val="24"/>
        </w:rPr>
        <w:t>.</w:t>
      </w:r>
      <w:r w:rsidR="009C3DF7" w:rsidRPr="00745360">
        <w:rPr>
          <w:rStyle w:val="FootnoteReference"/>
          <w:rFonts w:asciiTheme="majorHAnsi" w:eastAsia="Times New Roman" w:hAnsiTheme="majorHAnsi" w:cs="Times New Roman"/>
          <w:bCs/>
          <w:color w:val="000000" w:themeColor="text1"/>
          <w:sz w:val="24"/>
          <w:szCs w:val="24"/>
        </w:rPr>
        <w:footnoteReference w:id="32"/>
      </w:r>
      <w:r w:rsidR="009C3DF7"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 xml:space="preserve">The integration of customary law in investment policy does not always go smoothly. In some cases, environmental conservation policies designed by the state have actually created new conflicts with indigenous peoples. </w:t>
      </w:r>
    </w:p>
    <w:p w14:paraId="01B57925" w14:textId="77777777" w:rsidR="00822B5E" w:rsidRPr="00745360" w:rsidRDefault="00822B5E" w:rsidP="004364C2">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phenomenon known as green grabbing suggests that conservation policies can be used as a tool to take over customary territories in the name of environmental protection. This shows that environmental sustainability should not be separated from the protection of indigenous peoples' rights</w:t>
      </w:r>
      <w:r w:rsidR="001B6551" w:rsidRPr="00745360">
        <w:rPr>
          <w:rFonts w:asciiTheme="majorHAnsi" w:eastAsia="Times New Roman" w:hAnsiTheme="majorHAnsi" w:cs="Times New Roman"/>
          <w:bCs/>
          <w:color w:val="000000" w:themeColor="text1"/>
          <w:sz w:val="24"/>
          <w:szCs w:val="24"/>
        </w:rPr>
        <w:t>.</w:t>
      </w:r>
      <w:r w:rsidR="008232A6" w:rsidRPr="00745360">
        <w:rPr>
          <w:rStyle w:val="FootnoteReference"/>
          <w:rFonts w:asciiTheme="majorHAnsi" w:eastAsia="Times New Roman" w:hAnsiTheme="majorHAnsi" w:cs="Times New Roman"/>
          <w:bCs/>
          <w:color w:val="000000" w:themeColor="text1"/>
          <w:sz w:val="24"/>
          <w:szCs w:val="24"/>
        </w:rPr>
        <w:footnoteReference w:id="33"/>
      </w:r>
      <w:r w:rsidR="00B86AC5"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 xml:space="preserve">Efforts to harmonize customary law and investment-based natural resource management policies are not only an issue in the national legal system, but also a concern in </w:t>
      </w:r>
      <w:r w:rsidRPr="00745360">
        <w:rPr>
          <w:rFonts w:asciiTheme="majorHAnsi" w:eastAsia="Times New Roman" w:hAnsiTheme="majorHAnsi" w:cs="Times New Roman"/>
          <w:bCs/>
          <w:color w:val="000000" w:themeColor="text1"/>
          <w:sz w:val="24"/>
          <w:szCs w:val="24"/>
        </w:rPr>
        <w:lastRenderedPageBreak/>
        <w:t>various legal systems in the world. Some countries have developed relatively progressive mechanisms for integrating the rights of indigenous peoples in natural resource management policies.</w:t>
      </w:r>
    </w:p>
    <w:p w14:paraId="7DE2FACF" w14:textId="3D971B7E" w:rsidR="007B6DFF" w:rsidRPr="00745360" w:rsidRDefault="00822B5E"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In the Canadian legal system, recognition of Aboriginal title is one of the constitutional instruments that provides juridical legitimacy for indigenous peoples to defend and manage traditional territories that have historically been under their control. The concept is rooted in the constitutional recognition of the rights of indigenous peoples as set out in Section 35 of the Constitution Act 1982, which affirms the existence and applicability of indigenous rights in the Canadian legal system. This recognition is not only declarative, but also provides normative consequences in the form of recognition of the historical, cultural, and economic relationship of indigenous peoples with their territories. Thus, Aboriginal title is seen as a sui generis right that has different characteristics from property rights in modern property law, as it is based on the collective relationship of indigenous peoples with land as well as the sustainability of their socio-cultural practices</w:t>
      </w:r>
      <w:r w:rsidR="005D40C3" w:rsidRPr="00745360">
        <w:rPr>
          <w:rFonts w:asciiTheme="majorHAnsi" w:eastAsia="Times New Roman" w:hAnsiTheme="majorHAnsi" w:cs="Times New Roman"/>
          <w:bCs/>
          <w:color w:val="000000" w:themeColor="text1"/>
          <w:sz w:val="24"/>
          <w:szCs w:val="24"/>
        </w:rPr>
        <w:t>.</w:t>
      </w:r>
      <w:r w:rsidR="005D40C3" w:rsidRPr="00745360">
        <w:rPr>
          <w:rStyle w:val="FootnoteReference"/>
          <w:rFonts w:asciiTheme="majorHAnsi" w:eastAsia="Times New Roman" w:hAnsiTheme="majorHAnsi" w:cs="Times New Roman"/>
          <w:bCs/>
          <w:color w:val="000000" w:themeColor="text1"/>
          <w:sz w:val="24"/>
          <w:szCs w:val="24"/>
        </w:rPr>
        <w:footnoteReference w:id="34"/>
      </w:r>
    </w:p>
    <w:p w14:paraId="0FA5403B" w14:textId="02733879" w:rsidR="005D40C3" w:rsidRPr="00745360" w:rsidRDefault="00B63DD2"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In jurisprudence practice, the Supreme Court of Canada has developed a doctrine that places the state as a party with a legal duty to consult with indigenous peoples before making policies or granting permits that could potentially affect customary rights over traditional territories. This doctrine developed through a number of landmark decisions, including Haida Nation v. British Columbia (Minister of Forests) which affirmed that the state is obliged to consult in good faith when government actions have the potential to negatively impact the rights or claims of indigenous peoples' rights. This obligation is rooted in the principle of </w:t>
      </w:r>
      <w:proofErr w:type="spellStart"/>
      <w:r w:rsidRPr="00745360">
        <w:rPr>
          <w:rFonts w:asciiTheme="majorHAnsi" w:eastAsia="Times New Roman" w:hAnsiTheme="majorHAnsi" w:cs="Times New Roman"/>
          <w:bCs/>
          <w:color w:val="000000" w:themeColor="text1"/>
          <w:sz w:val="24"/>
          <w:szCs w:val="24"/>
        </w:rPr>
        <w:t>honour</w:t>
      </w:r>
      <w:proofErr w:type="spellEnd"/>
      <w:r w:rsidRPr="00745360">
        <w:rPr>
          <w:rFonts w:asciiTheme="majorHAnsi" w:eastAsia="Times New Roman" w:hAnsiTheme="majorHAnsi" w:cs="Times New Roman"/>
          <w:bCs/>
          <w:color w:val="000000" w:themeColor="text1"/>
          <w:sz w:val="24"/>
          <w:szCs w:val="24"/>
        </w:rPr>
        <w:t xml:space="preserve"> of the Crown, which requires the government to exercise public authority in an honest, </w:t>
      </w:r>
      <w:r w:rsidRPr="00745360">
        <w:rPr>
          <w:rFonts w:asciiTheme="majorHAnsi" w:eastAsia="Times New Roman" w:hAnsiTheme="majorHAnsi" w:cs="Times New Roman"/>
          <w:bCs/>
          <w:color w:val="000000" w:themeColor="text1"/>
          <w:sz w:val="24"/>
          <w:szCs w:val="24"/>
        </w:rPr>
        <w:lastRenderedPageBreak/>
        <w:t>transparent manner, and respect the rights of indigenous peoples in every decision-making process related to natural resource management</w:t>
      </w:r>
      <w:r w:rsidR="005D40C3" w:rsidRPr="00745360">
        <w:rPr>
          <w:rFonts w:asciiTheme="majorHAnsi" w:eastAsia="Times New Roman" w:hAnsiTheme="majorHAnsi" w:cs="Times New Roman"/>
          <w:bCs/>
          <w:color w:val="000000" w:themeColor="text1"/>
          <w:sz w:val="24"/>
          <w:szCs w:val="24"/>
        </w:rPr>
        <w:t>.</w:t>
      </w:r>
      <w:r w:rsidR="00933C27" w:rsidRPr="00745360">
        <w:rPr>
          <w:rStyle w:val="FootnoteReference"/>
          <w:rFonts w:asciiTheme="majorHAnsi" w:eastAsia="Times New Roman" w:hAnsiTheme="majorHAnsi" w:cs="Times New Roman"/>
          <w:bCs/>
          <w:color w:val="000000" w:themeColor="text1"/>
          <w:sz w:val="24"/>
          <w:szCs w:val="24"/>
        </w:rPr>
        <w:footnoteReference w:id="35"/>
      </w:r>
    </w:p>
    <w:p w14:paraId="5DFAE9CB" w14:textId="4BE8127E" w:rsidR="00933C27" w:rsidRPr="00745360" w:rsidRDefault="00B63DD2"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Such consultation obligations have far-reaching implications in the context of natural resource management, especially when governments grant exploitation permits for territories historically used by indigenous peoples. In various Canadian court rulings, it has been emphasized that the consultation process must be carried out in a substantive manner and not just an administrative formality. The consultation is intended to ensure that the views, interests, and concerns of indigenous peoples are adequately considered in the process of formulating policies and granting permits for the exploitation of natural resources. If such obligations are not adequately met, the government's actions may be considered a violation of the constitutional rights of indigenous peoples protected by Canadian law</w:t>
      </w:r>
      <w:r w:rsidR="009D6973" w:rsidRPr="00745360">
        <w:rPr>
          <w:rFonts w:asciiTheme="majorHAnsi" w:eastAsia="Times New Roman" w:hAnsiTheme="majorHAnsi" w:cs="Times New Roman"/>
          <w:bCs/>
          <w:color w:val="000000" w:themeColor="text1"/>
          <w:sz w:val="24"/>
          <w:szCs w:val="24"/>
        </w:rPr>
        <w:t>.</w:t>
      </w:r>
      <w:r w:rsidR="009D6973" w:rsidRPr="00745360">
        <w:rPr>
          <w:rStyle w:val="FootnoteReference"/>
          <w:rFonts w:asciiTheme="majorHAnsi" w:eastAsia="Times New Roman" w:hAnsiTheme="majorHAnsi" w:cs="Times New Roman"/>
          <w:bCs/>
          <w:color w:val="000000" w:themeColor="text1"/>
          <w:sz w:val="24"/>
          <w:szCs w:val="24"/>
        </w:rPr>
        <w:footnoteReference w:id="36"/>
      </w:r>
    </w:p>
    <w:p w14:paraId="45DE5A9D" w14:textId="32A2DF4C" w:rsidR="009D6973"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Recent developments in jurisprudence have even shown that Canadian courts have further strengthened the legal position of indigenous peoples by recognizing that the rights inherent in Aboriginal title can have a stronger position than the property rights granted by the state in the modern property law system. Landmark decisions such as Tsilhqot'in Nation v. British Columbia have confirmed that once a territory has been recognized as land with Aboriginal title, the government cannot unilaterally grant permits for the exploitation of natural resources without meaningful consent or consultation with the customary rights holder.</w:t>
      </w:r>
      <w:r w:rsidR="00A83466" w:rsidRPr="00745360">
        <w:rPr>
          <w:rFonts w:asciiTheme="majorHAnsi" w:eastAsia="Times New Roman" w:hAnsiTheme="majorHAnsi" w:cs="Times New Roman"/>
          <w:bCs/>
          <w:color w:val="000000" w:themeColor="text1"/>
          <w:sz w:val="24"/>
          <w:szCs w:val="24"/>
        </w:rPr>
        <w:t>.</w:t>
      </w:r>
      <w:r w:rsidR="00A83466" w:rsidRPr="00745360">
        <w:rPr>
          <w:rStyle w:val="FootnoteReference"/>
          <w:rFonts w:asciiTheme="majorHAnsi" w:eastAsia="Times New Roman" w:hAnsiTheme="majorHAnsi" w:cs="Times New Roman"/>
          <w:bCs/>
          <w:color w:val="000000" w:themeColor="text1"/>
          <w:sz w:val="24"/>
          <w:szCs w:val="24"/>
        </w:rPr>
        <w:footnoteReference w:id="37"/>
      </w:r>
      <w:r w:rsidR="00A83466"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This shows a paradigm shift in Canadian law, where recognition of indigenous peoples' rights is no longer merely symbolic, but has tangible legal consequences in limiting the country's authority in the management of natural resources</w:t>
      </w:r>
      <w:r w:rsidR="00A83466" w:rsidRPr="00745360">
        <w:rPr>
          <w:rFonts w:asciiTheme="majorHAnsi" w:eastAsia="Times New Roman" w:hAnsiTheme="majorHAnsi" w:cs="Times New Roman"/>
          <w:bCs/>
          <w:color w:val="000000" w:themeColor="text1"/>
          <w:sz w:val="24"/>
          <w:szCs w:val="24"/>
        </w:rPr>
        <w:t>.</w:t>
      </w:r>
    </w:p>
    <w:p w14:paraId="4C5A99B3" w14:textId="77777777" w:rsidR="00ED3590" w:rsidRPr="00745360" w:rsidRDefault="00ED3590" w:rsidP="00597370">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lastRenderedPageBreak/>
        <w:t xml:space="preserve">In the Australian legal system, the recognition of indigenous peoples' rights to land and natural resources is formalized through the provisions in the Native Title Act 1993, which is a national legislation instrument that gives legal legitimacy to the existence of Aboriginal and Torres Strait Islander peoples' traditional rights to territories that are historically and culturally under their control. This law was born in response to the development of jurisprudence pioneered by the Mabo v Queensland decision, which abolished the doctrine of terra nullius and affirmed that the Australian legal system must </w:t>
      </w:r>
      <w:proofErr w:type="spellStart"/>
      <w:r w:rsidRPr="00745360">
        <w:rPr>
          <w:rFonts w:asciiTheme="majorHAnsi" w:eastAsia="Times New Roman" w:hAnsiTheme="majorHAnsi" w:cs="Times New Roman"/>
          <w:bCs/>
          <w:color w:val="000000" w:themeColor="text1"/>
          <w:sz w:val="24"/>
          <w:szCs w:val="24"/>
        </w:rPr>
        <w:t>recognise</w:t>
      </w:r>
      <w:proofErr w:type="spellEnd"/>
      <w:r w:rsidRPr="00745360">
        <w:rPr>
          <w:rFonts w:asciiTheme="majorHAnsi" w:eastAsia="Times New Roman" w:hAnsiTheme="majorHAnsi" w:cs="Times New Roman"/>
          <w:bCs/>
          <w:color w:val="000000" w:themeColor="text1"/>
          <w:sz w:val="24"/>
          <w:szCs w:val="24"/>
        </w:rPr>
        <w:t xml:space="preserve"> the existence of customary law systems that existed before </w:t>
      </w:r>
      <w:proofErr w:type="spellStart"/>
      <w:r w:rsidRPr="00745360">
        <w:rPr>
          <w:rFonts w:asciiTheme="majorHAnsi" w:eastAsia="Times New Roman" w:hAnsiTheme="majorHAnsi" w:cs="Times New Roman"/>
          <w:bCs/>
          <w:color w:val="000000" w:themeColor="text1"/>
          <w:sz w:val="24"/>
          <w:szCs w:val="24"/>
        </w:rPr>
        <w:t>colonisation</w:t>
      </w:r>
      <w:proofErr w:type="spellEnd"/>
      <w:r w:rsidRPr="00745360">
        <w:rPr>
          <w:rFonts w:asciiTheme="majorHAnsi" w:eastAsia="Times New Roman" w:hAnsiTheme="majorHAnsi" w:cs="Times New Roman"/>
          <w:bCs/>
          <w:color w:val="000000" w:themeColor="text1"/>
          <w:sz w:val="24"/>
          <w:szCs w:val="24"/>
        </w:rPr>
        <w:t>.</w:t>
      </w:r>
      <w:r w:rsidR="007F6886" w:rsidRPr="00745360">
        <w:rPr>
          <w:rStyle w:val="FootnoteReference"/>
          <w:rFonts w:asciiTheme="majorHAnsi" w:eastAsia="Times New Roman" w:hAnsiTheme="majorHAnsi" w:cs="Times New Roman"/>
          <w:bCs/>
          <w:color w:val="000000" w:themeColor="text1"/>
          <w:sz w:val="24"/>
          <w:szCs w:val="24"/>
        </w:rPr>
        <w:footnoteReference w:id="38"/>
      </w:r>
      <w:r w:rsidR="00EF5A6A"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In this framework, native title is understood as a right derived from the traditional relationship of indigenous peoples with their land and territory, whose existence is recognized as long as it can be proven that the continuity of legal and cultural relations with the territory according to local customary law can be proven.</w:t>
      </w:r>
    </w:p>
    <w:p w14:paraId="0427D398" w14:textId="77777777" w:rsidR="00ED3590" w:rsidRPr="00745360" w:rsidRDefault="00ED3590" w:rsidP="00DA5C5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mechanism set out in the Native Title Act 1993 provides space for indigenous peoples to defend and assert their rights through the process of native title claims processed by specialized judicial institutions, namely the Federal Court of Australia and the National Native Title Tribunal</w:t>
      </w:r>
      <w:r w:rsidR="009D181E" w:rsidRPr="00745360">
        <w:rPr>
          <w:rFonts w:asciiTheme="majorHAnsi" w:eastAsia="Times New Roman" w:hAnsiTheme="majorHAnsi" w:cs="Times New Roman"/>
          <w:bCs/>
          <w:color w:val="000000" w:themeColor="text1"/>
          <w:sz w:val="24"/>
          <w:szCs w:val="24"/>
        </w:rPr>
        <w:t>.</w:t>
      </w:r>
      <w:r w:rsidR="00B4280B" w:rsidRPr="00745360">
        <w:rPr>
          <w:rStyle w:val="FootnoteReference"/>
          <w:rFonts w:asciiTheme="majorHAnsi" w:eastAsia="Times New Roman" w:hAnsiTheme="majorHAnsi" w:cs="Times New Roman"/>
          <w:bCs/>
          <w:color w:val="000000" w:themeColor="text1"/>
          <w:sz w:val="24"/>
          <w:szCs w:val="24"/>
        </w:rPr>
        <w:footnoteReference w:id="39"/>
      </w:r>
      <w:r w:rsidR="009D181E"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The recognition of native title not only serves as an endorsement of the historical rights of indigenous peoples, but also serves as a legal basis for their involvement in the decision-making process related to the use of natural resources in customary territories. Thus, the arrangement reflects institutional efforts to integrate customary law norms into the national legal framework in order to create more inclusive and equitable natural resource governance for indigenous peoples.</w:t>
      </w:r>
    </w:p>
    <w:p w14:paraId="23C00CC4" w14:textId="4D99F267" w:rsidR="00F043CF"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In practice, the native title system also regulates the mechanism of the right to negotiate, which is the obligation for parties who intend to carry out natural </w:t>
      </w:r>
      <w:r w:rsidRPr="00745360">
        <w:rPr>
          <w:rFonts w:asciiTheme="majorHAnsi" w:eastAsia="Times New Roman" w:hAnsiTheme="majorHAnsi" w:cs="Times New Roman"/>
          <w:bCs/>
          <w:color w:val="000000" w:themeColor="text1"/>
          <w:sz w:val="24"/>
          <w:szCs w:val="24"/>
        </w:rPr>
        <w:lastRenderedPageBreak/>
        <w:t>resource exploitation activities or investments in areas that are in the claim or recognition of native title to negotiate with indigenous peoples as rights holders</w:t>
      </w:r>
      <w:r w:rsidR="006C21A6" w:rsidRPr="00745360">
        <w:rPr>
          <w:rFonts w:asciiTheme="majorHAnsi" w:eastAsia="Times New Roman" w:hAnsiTheme="majorHAnsi" w:cs="Times New Roman"/>
          <w:bCs/>
          <w:color w:val="000000" w:themeColor="text1"/>
          <w:sz w:val="24"/>
          <w:szCs w:val="24"/>
        </w:rPr>
        <w:t>.</w:t>
      </w:r>
      <w:r w:rsidR="006C21A6" w:rsidRPr="00745360">
        <w:rPr>
          <w:rStyle w:val="FootnoteReference"/>
          <w:rFonts w:asciiTheme="majorHAnsi" w:eastAsia="Times New Roman" w:hAnsiTheme="majorHAnsi" w:cs="Times New Roman"/>
          <w:bCs/>
          <w:color w:val="000000" w:themeColor="text1"/>
          <w:sz w:val="24"/>
          <w:szCs w:val="24"/>
        </w:rPr>
        <w:footnoteReference w:id="40"/>
      </w:r>
      <w:r w:rsidR="006C21A6"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Through this mechanism, companies and governments are required to consult and negotiate directly with indigenous communities to reach agreements on land use, protection of cultural values, and compensation or sharing of economic benefits arising from natural resource utilization activities. This mechanism is one of the important instruments in ensuring that economic development activities do not ignore the collective rights of indigenous peoples that have been recognized by law</w:t>
      </w:r>
      <w:r w:rsidR="006C21A6" w:rsidRPr="00745360">
        <w:rPr>
          <w:rFonts w:asciiTheme="majorHAnsi" w:eastAsia="Times New Roman" w:hAnsiTheme="majorHAnsi" w:cs="Times New Roman"/>
          <w:bCs/>
          <w:color w:val="000000" w:themeColor="text1"/>
          <w:sz w:val="24"/>
          <w:szCs w:val="24"/>
        </w:rPr>
        <w:t>.</w:t>
      </w:r>
    </w:p>
    <w:p w14:paraId="145AD3A8" w14:textId="25A67D37" w:rsidR="006C21A6"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implementation of the negotiation mechanism has encouraged the development of various forms of Indigenous Land Use Agreements (ILUA), which are agreements between indigenous peoples and the government or private parties regarding the use and management of indigenous territories. Such agreements often include arrangements for financial compensation, employment opportunities for indigenous peoples, protection of cultural sites, and social development programs for local communities.</w:t>
      </w:r>
      <w:r w:rsidR="00AE2433" w:rsidRPr="00745360">
        <w:rPr>
          <w:rStyle w:val="FootnoteReference"/>
          <w:rFonts w:asciiTheme="majorHAnsi" w:eastAsia="Times New Roman" w:hAnsiTheme="majorHAnsi" w:cs="Times New Roman"/>
          <w:bCs/>
          <w:color w:val="000000" w:themeColor="text1"/>
          <w:sz w:val="24"/>
          <w:szCs w:val="24"/>
        </w:rPr>
        <w:footnoteReference w:id="41"/>
      </w:r>
      <w:r w:rsidR="00B5379B"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ILUA not only serves as a legal instrument to resolve potential conflicts of interest between economic investment and indigenous peoples' rights, but also as a means to encourage a fairer distribution of economic benefits in the management of natural resources in indigenous territories</w:t>
      </w:r>
      <w:r w:rsidR="00B5379B" w:rsidRPr="00745360">
        <w:rPr>
          <w:rFonts w:asciiTheme="majorHAnsi" w:eastAsia="Times New Roman" w:hAnsiTheme="majorHAnsi" w:cs="Times New Roman"/>
          <w:bCs/>
          <w:color w:val="000000" w:themeColor="text1"/>
          <w:sz w:val="24"/>
          <w:szCs w:val="24"/>
        </w:rPr>
        <w:t>.</w:t>
      </w:r>
    </w:p>
    <w:p w14:paraId="5FEE0050" w14:textId="5B590CDC" w:rsidR="006E4968"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In the Philippine legal system, the recognition of the rights of indigenous peoples has gained a strong normative foundation through the enactment of the Indigenous Peoples' Rights Act (IPRA) of 1997 or Republic Act No. 8371. This law is a legislative instrument that comprehensively recognizes the existence of Indigenous Cultural Communities (Indigenous Peoples) and their collective rights to customary territories, cultural identities, and traditional legal systems that have developed before the formation of the modern state</w:t>
      </w:r>
      <w:r w:rsidR="00615ACD" w:rsidRPr="00745360">
        <w:rPr>
          <w:rFonts w:asciiTheme="majorHAnsi" w:eastAsia="Times New Roman" w:hAnsiTheme="majorHAnsi" w:cs="Times New Roman"/>
          <w:bCs/>
          <w:color w:val="000000" w:themeColor="text1"/>
          <w:sz w:val="24"/>
          <w:szCs w:val="24"/>
        </w:rPr>
        <w:t>.</w:t>
      </w:r>
      <w:r w:rsidR="00684EBE" w:rsidRPr="00745360">
        <w:rPr>
          <w:rStyle w:val="FootnoteReference"/>
          <w:rFonts w:asciiTheme="majorHAnsi" w:eastAsia="Times New Roman" w:hAnsiTheme="majorHAnsi" w:cs="Times New Roman"/>
          <w:bCs/>
          <w:color w:val="000000" w:themeColor="text1"/>
          <w:sz w:val="24"/>
          <w:szCs w:val="24"/>
        </w:rPr>
        <w:footnoteReference w:id="42"/>
      </w:r>
      <w:r w:rsidR="00615ACD"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 xml:space="preserve">Through IPRA, the </w:t>
      </w:r>
      <w:r w:rsidRPr="00745360">
        <w:rPr>
          <w:rFonts w:asciiTheme="majorHAnsi" w:eastAsia="Times New Roman" w:hAnsiTheme="majorHAnsi" w:cs="Times New Roman"/>
          <w:bCs/>
          <w:color w:val="000000" w:themeColor="text1"/>
          <w:sz w:val="24"/>
          <w:szCs w:val="24"/>
        </w:rPr>
        <w:lastRenderedPageBreak/>
        <w:t>Philippines emphasizes that ancestral domains are living spaces that have historical, social, economic, and spiritual dimensions for indigenous peoples, so that their recognition is not only related to aspects of land ownership, but also includes recognition of the natural resource management system based on customary norms and traditional practices of the community.</w:t>
      </w:r>
    </w:p>
    <w:p w14:paraId="2078D01A" w14:textId="201C7808" w:rsidR="00684EBE"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Institutionally, the implementation of IPRA is carried out through the National Commission on Indigenous Peoples (NCIP) which functions as a state institution responsible for administering the recognition and protection of the rights of indigenous peoples. One of the key mechanisms within this legal framework is the granting of a Certificate of Ancestral Domain Title (CADT) which formally recognizes the collective ownership of indigenous peoples over their customary territories</w:t>
      </w:r>
      <w:r w:rsidR="0019343C" w:rsidRPr="00745360">
        <w:rPr>
          <w:rFonts w:asciiTheme="majorHAnsi" w:eastAsia="Times New Roman" w:hAnsiTheme="majorHAnsi" w:cs="Times New Roman"/>
          <w:bCs/>
          <w:color w:val="000000" w:themeColor="text1"/>
          <w:sz w:val="24"/>
          <w:szCs w:val="24"/>
        </w:rPr>
        <w:t>.</w:t>
      </w:r>
      <w:r w:rsidR="0019343C" w:rsidRPr="00745360">
        <w:rPr>
          <w:rStyle w:val="FootnoteReference"/>
          <w:rFonts w:asciiTheme="majorHAnsi" w:eastAsia="Times New Roman" w:hAnsiTheme="majorHAnsi" w:cs="Times New Roman"/>
          <w:bCs/>
          <w:color w:val="000000" w:themeColor="text1"/>
          <w:sz w:val="24"/>
          <w:szCs w:val="24"/>
        </w:rPr>
        <w:footnoteReference w:id="43"/>
      </w:r>
      <w:r w:rsidR="0019343C"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The recognition provides legal certainty for the historical relationship of indigenous peoples with the land and natural resources located therein, as well as placing indigenous peoples as legal subjects who have the right to determine the management and utilization of customary territories in accordance with applicable customary norms. Thus, the IPRA serves as a legal instrument that integrates customary law into the national legal system of the Philippines through a mechanism for administrative recognition and protection of the collective rights of indigenous peoples.</w:t>
      </w:r>
    </w:p>
    <w:p w14:paraId="63D4EFE5" w14:textId="77777777" w:rsidR="00ED3590" w:rsidRPr="00745360" w:rsidRDefault="00ED3590" w:rsidP="00D00B27">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One of the fundamental principles regulated in IPRA is the application of the Free, Prior and Informed Consent (FPIC) mechanism in every development or investment activity that has the potential to affect customary territories</w:t>
      </w:r>
      <w:r w:rsidR="00662EA0" w:rsidRPr="00745360">
        <w:rPr>
          <w:rFonts w:asciiTheme="majorHAnsi" w:eastAsia="Times New Roman" w:hAnsiTheme="majorHAnsi" w:cs="Times New Roman"/>
          <w:bCs/>
          <w:color w:val="000000" w:themeColor="text1"/>
          <w:sz w:val="24"/>
          <w:szCs w:val="24"/>
        </w:rPr>
        <w:t>.</w:t>
      </w:r>
      <w:r w:rsidR="00662EA0" w:rsidRPr="00745360">
        <w:rPr>
          <w:rStyle w:val="FootnoteReference"/>
          <w:rFonts w:asciiTheme="majorHAnsi" w:eastAsia="Times New Roman" w:hAnsiTheme="majorHAnsi" w:cs="Times New Roman"/>
          <w:bCs/>
          <w:color w:val="000000" w:themeColor="text1"/>
          <w:sz w:val="24"/>
          <w:szCs w:val="24"/>
        </w:rPr>
        <w:footnoteReference w:id="44"/>
      </w:r>
      <w:r w:rsidR="00662EA0"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 xml:space="preserve">This principle requires governments and the private sector to obtain the consent of indigenous peoples freely, preceded by the provision of adequate information, and done before the development project begins. The implementation of the FPIC aims </w:t>
      </w:r>
      <w:r w:rsidRPr="00745360">
        <w:rPr>
          <w:rFonts w:asciiTheme="majorHAnsi" w:eastAsia="Times New Roman" w:hAnsiTheme="majorHAnsi" w:cs="Times New Roman"/>
          <w:bCs/>
          <w:color w:val="000000" w:themeColor="text1"/>
          <w:sz w:val="24"/>
          <w:szCs w:val="24"/>
        </w:rPr>
        <w:lastRenderedPageBreak/>
        <w:t xml:space="preserve">to ensure that indigenous peoples have an equal opportunity to determine whether a development project can be implemented in their customary territories, while ensuring that such decisions are taken through a deliberative process that is in accordance with the social structure and decision-making mechanisms within the indigenous community. </w:t>
      </w:r>
    </w:p>
    <w:p w14:paraId="02366789" w14:textId="77777777" w:rsidR="00ED3590" w:rsidRPr="00745360" w:rsidRDefault="00ED3590" w:rsidP="00B40772">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FPIC is seen as an important instrument in protecting the rights of indigenous peoples as well as a mechanism for mitigating conflicts between the interests of economic development and the sustainability of indigenous peoples' lives. The legal regulatory model applied in the Philippines suggests that harmonization between customary law and investment policy can be achieved through a national legal framework that explicitly recognizes the existence as well as rights of indigenous peoples as an integral part of the country's legal system. </w:t>
      </w:r>
    </w:p>
    <w:p w14:paraId="264B169C" w14:textId="77777777" w:rsidR="00ED3590" w:rsidRPr="00745360" w:rsidRDefault="00ED3590" w:rsidP="00B95C70">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Customary territories, traditional legal systems, and indigenous peoples' consent mechanisms through FPIC, IPRA builds a legal pluralism approach that allows the existence of customary law co-existing with national law in the management of natural resources and the implementation of economic development</w:t>
      </w:r>
      <w:r w:rsidR="00662EA0" w:rsidRPr="00745360">
        <w:rPr>
          <w:rFonts w:asciiTheme="majorHAnsi" w:eastAsia="Times New Roman" w:hAnsiTheme="majorHAnsi" w:cs="Times New Roman"/>
          <w:bCs/>
          <w:color w:val="000000" w:themeColor="text1"/>
          <w:sz w:val="24"/>
          <w:szCs w:val="24"/>
        </w:rPr>
        <w:t>.</w:t>
      </w:r>
      <w:r w:rsidR="00662EA0" w:rsidRPr="00745360">
        <w:rPr>
          <w:rStyle w:val="FootnoteReference"/>
          <w:rFonts w:asciiTheme="majorHAnsi" w:eastAsia="Times New Roman" w:hAnsiTheme="majorHAnsi" w:cs="Times New Roman"/>
          <w:bCs/>
          <w:color w:val="000000" w:themeColor="text1"/>
          <w:sz w:val="24"/>
          <w:szCs w:val="24"/>
        </w:rPr>
        <w:footnoteReference w:id="45"/>
      </w:r>
      <w:r w:rsidR="00662EA0" w:rsidRPr="00745360">
        <w:rPr>
          <w:rFonts w:asciiTheme="majorHAnsi" w:eastAsia="Times New Roman" w:hAnsiTheme="majorHAnsi" w:cs="Times New Roman"/>
          <w:bCs/>
          <w:color w:val="000000" w:themeColor="text1"/>
          <w:sz w:val="24"/>
          <w:szCs w:val="24"/>
        </w:rPr>
        <w:t xml:space="preserve"> </w:t>
      </w:r>
      <w:r w:rsidRPr="00745360">
        <w:rPr>
          <w:rFonts w:asciiTheme="majorHAnsi" w:eastAsia="Times New Roman" w:hAnsiTheme="majorHAnsi" w:cs="Times New Roman"/>
          <w:bCs/>
          <w:color w:val="000000" w:themeColor="text1"/>
          <w:sz w:val="24"/>
          <w:szCs w:val="24"/>
        </w:rPr>
        <w:t>This approach provides a normative foundation for the creation of more inclusive development governance, where investment interests can go hand in hand with the protection of the collective rights of indigenous peoples and the sustainability of the environment in customary territories.</w:t>
      </w:r>
    </w:p>
    <w:p w14:paraId="0582DBFA" w14:textId="245BB886" w:rsidR="00662EA0"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Based on the development of international legal practice and findings in various academic studies on natural resource governance, efforts to harmonize customary law and investment-based natural resource management policies can be realized through a number of normative and institutional approach models. This approach in principle aims to create a balance between the interests of economic development, the protection of indigenous peoples' rights, and environmental </w:t>
      </w:r>
      <w:r w:rsidRPr="00745360">
        <w:rPr>
          <w:rFonts w:asciiTheme="majorHAnsi" w:eastAsia="Times New Roman" w:hAnsiTheme="majorHAnsi" w:cs="Times New Roman"/>
          <w:bCs/>
          <w:color w:val="000000" w:themeColor="text1"/>
          <w:sz w:val="24"/>
          <w:szCs w:val="24"/>
        </w:rPr>
        <w:lastRenderedPageBreak/>
        <w:t>sustainability. The literature on natural resource law and environmental governance shows that the integration of customary norms into the country's legal framework is an important strategy to reduce agrarian conflicts, increase the legitimacy of investment policies, and strengthen the principles of social justice in natural resource management</w:t>
      </w:r>
      <w:r w:rsidR="007131A4" w:rsidRPr="00745360">
        <w:rPr>
          <w:rFonts w:asciiTheme="majorHAnsi" w:eastAsia="Times New Roman" w:hAnsiTheme="majorHAnsi" w:cs="Times New Roman"/>
          <w:bCs/>
          <w:color w:val="000000" w:themeColor="text1"/>
          <w:sz w:val="24"/>
          <w:szCs w:val="24"/>
        </w:rPr>
        <w:t>.</w:t>
      </w:r>
    </w:p>
    <w:p w14:paraId="75D4C3F6" w14:textId="714B1499" w:rsidR="00436471" w:rsidRPr="00745360" w:rsidRDefault="00ED3590" w:rsidP="008223C8">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first approach that can be applied is the normative recognition model, which is a mechanism for formal recognition of the existence of customary law and customary territories through laws and regulations. From the perspective of constitutional law and agrarian law, the recognition provides a juridical basis for indigenous peoples to maintain collective rights to the land and natural resources they have managed for generations. Normative recognition also serves as a legal protection mechanism against potential violations of the rights of indigenous peoples due to the expansion of extractive investments such as mining, forestry, and large-scale plantations</w:t>
      </w:r>
      <w:r w:rsidR="003B07A7" w:rsidRPr="00745360">
        <w:rPr>
          <w:rFonts w:asciiTheme="majorHAnsi" w:eastAsia="Times New Roman" w:hAnsiTheme="majorHAnsi" w:cs="Times New Roman"/>
          <w:bCs/>
          <w:color w:val="000000" w:themeColor="text1"/>
          <w:sz w:val="24"/>
          <w:szCs w:val="24"/>
        </w:rPr>
        <w:t>.</w:t>
      </w:r>
      <w:r w:rsidR="003B07A7" w:rsidRPr="00745360">
        <w:rPr>
          <w:rStyle w:val="FootnoteReference"/>
          <w:rFonts w:asciiTheme="majorHAnsi" w:eastAsia="Times New Roman" w:hAnsiTheme="majorHAnsi" w:cs="Times New Roman"/>
          <w:bCs/>
          <w:color w:val="000000" w:themeColor="text1"/>
          <w:sz w:val="24"/>
          <w:szCs w:val="24"/>
        </w:rPr>
        <w:footnoteReference w:id="46"/>
      </w:r>
      <w:r w:rsidR="003B07A7" w:rsidRPr="00745360">
        <w:rPr>
          <w:rFonts w:asciiTheme="majorHAnsi" w:eastAsia="Times New Roman" w:hAnsiTheme="majorHAnsi" w:cs="Times New Roman"/>
          <w:bCs/>
          <w:color w:val="000000" w:themeColor="text1"/>
          <w:sz w:val="24"/>
          <w:szCs w:val="24"/>
        </w:rPr>
        <w:t xml:space="preserve"> </w:t>
      </w:r>
    </w:p>
    <w:p w14:paraId="3314BDF2" w14:textId="3C6127F6" w:rsidR="00436471" w:rsidRPr="00745360" w:rsidRDefault="00ED3590" w:rsidP="00436471">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Legal recognition of the rights of indigenous peoples can reduce land conflicts and increase legal certainty in natural resource investment. The second approach is the participatory governance model, which is an approach that places indigenous peoples as legal subjects as well as the main actors in the decision-making process related to the use of natural resources. In this model, the principle of participation is realized through various mechanisms such as public consultation, customary deliberation, and the application of the principle of Free, Prior and Informed Consent (FPIC) before an investment project is implemented in customary territory</w:t>
      </w:r>
      <w:r w:rsidR="001B759E" w:rsidRPr="00745360">
        <w:rPr>
          <w:rFonts w:asciiTheme="majorHAnsi" w:eastAsia="Times New Roman" w:hAnsiTheme="majorHAnsi" w:cs="Times New Roman"/>
          <w:bCs/>
          <w:color w:val="000000" w:themeColor="text1"/>
          <w:sz w:val="24"/>
          <w:szCs w:val="24"/>
        </w:rPr>
        <w:t>.</w:t>
      </w:r>
      <w:r w:rsidR="001B759E" w:rsidRPr="00745360">
        <w:rPr>
          <w:rStyle w:val="FootnoteReference"/>
          <w:rFonts w:asciiTheme="majorHAnsi" w:eastAsia="Times New Roman" w:hAnsiTheme="majorHAnsi" w:cs="Times New Roman"/>
          <w:bCs/>
          <w:color w:val="000000" w:themeColor="text1"/>
          <w:sz w:val="24"/>
          <w:szCs w:val="24"/>
        </w:rPr>
        <w:footnoteReference w:id="47"/>
      </w:r>
      <w:r w:rsidR="001B759E" w:rsidRPr="00745360">
        <w:rPr>
          <w:rFonts w:asciiTheme="majorHAnsi" w:eastAsia="Times New Roman" w:hAnsiTheme="majorHAnsi" w:cs="Times New Roman"/>
          <w:bCs/>
          <w:color w:val="000000" w:themeColor="text1"/>
          <w:sz w:val="24"/>
          <w:szCs w:val="24"/>
        </w:rPr>
        <w:t xml:space="preserve"> </w:t>
      </w:r>
    </w:p>
    <w:p w14:paraId="35A2B3F8" w14:textId="77777777" w:rsidR="00ED3590" w:rsidRPr="00745360" w:rsidRDefault="00ED3590" w:rsidP="00EE78C7">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Such participation not only serves as an instrument for democratizing natural resource management, but also as a means to ensure that decisions taken </w:t>
      </w:r>
      <w:r w:rsidRPr="00745360">
        <w:rPr>
          <w:rFonts w:asciiTheme="majorHAnsi" w:eastAsia="Times New Roman" w:hAnsiTheme="majorHAnsi" w:cs="Times New Roman"/>
          <w:bCs/>
          <w:color w:val="000000" w:themeColor="text1"/>
          <w:sz w:val="24"/>
          <w:szCs w:val="24"/>
        </w:rPr>
        <w:lastRenderedPageBreak/>
        <w:t xml:space="preserve">reflect the interests of local communities and take into account the cultural values inherent in indigenous territories. Participatory mechanisms can increase the legitimacy of environmental policies and reduce potential conflicts between indigenous peoples and investors. The third approach is the economic partnership model, which is a scheme that places indigenous peoples as strategic partners in natural resource-based investment activities. </w:t>
      </w:r>
    </w:p>
    <w:p w14:paraId="6F64D71E" w14:textId="54BE946A" w:rsidR="001B759E" w:rsidRPr="00745360" w:rsidRDefault="00ED3590" w:rsidP="00436471">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Relationships between investors and indigenous peoples are not solely compensatory but develop into partnerships that provide sustainable economic benefits to local communities. Mechanisms that can be applied include benefit sharing, share ownership by indigenous communities, providing employment opportunities, and developing community-based businesses. The literature on natural resource investment governance shows that economic partnership schemes can improve the welfare of indigenous peoples while strengthening the social legitimacy of investment projects</w:t>
      </w:r>
      <w:r w:rsidR="00EA79A8" w:rsidRPr="00745360">
        <w:rPr>
          <w:rFonts w:asciiTheme="majorHAnsi" w:eastAsia="Times New Roman" w:hAnsiTheme="majorHAnsi" w:cs="Times New Roman"/>
          <w:bCs/>
          <w:color w:val="000000" w:themeColor="text1"/>
          <w:sz w:val="24"/>
          <w:szCs w:val="24"/>
        </w:rPr>
        <w:t>.</w:t>
      </w:r>
      <w:r w:rsidR="00A449B2" w:rsidRPr="00745360">
        <w:rPr>
          <w:rStyle w:val="FootnoteReference"/>
          <w:rFonts w:asciiTheme="majorHAnsi" w:eastAsia="Times New Roman" w:hAnsiTheme="majorHAnsi" w:cs="Times New Roman"/>
          <w:bCs/>
          <w:color w:val="000000" w:themeColor="text1"/>
          <w:sz w:val="24"/>
          <w:szCs w:val="24"/>
        </w:rPr>
        <w:footnoteReference w:id="48"/>
      </w:r>
    </w:p>
    <w:p w14:paraId="22B0B12C" w14:textId="3939F893" w:rsidR="00A449B2" w:rsidRPr="00745360" w:rsidRDefault="00ED3590" w:rsidP="00436471">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The fourth approach is the institutional integration model, which is an approach that integrates indigenous institutions into the natural resource governance structure recognized by the state. Through this model, customary institutions are not only seen as socio-cultural entities, but also as institutions that have authority in supervising investment activities and in resolving disputes related to the use of natural resources. Such institutional integration allows for the creation of a pluralistic governance mechanism, where state legal norms and customary norms can interact constructively. A number of studies on legal pluralism have shown that recognition of indigenous institutions in local government systems can strengthen the effectiveness of natural resource management and increase the legitimacy of public policies at the community level.</w:t>
      </w:r>
    </w:p>
    <w:p w14:paraId="4A071B48" w14:textId="77777777" w:rsidR="00ED3590" w:rsidRPr="00745360" w:rsidRDefault="00ED3590" w:rsidP="003F6A1D">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lastRenderedPageBreak/>
        <w:t>The harmonization between customary law and investment-based natural resource management policies essentially has strategic implications in an effort to realize a sustainable development paradigm. The integration of customary law norms with the state regulatory framework in natural resource management allows for the formation of a more inclusive, equitable, and eco-sustainability-oriented governance system. From a development law perspective, harmonization is an important instrument to ensure that the use of natural resources is not solely oriented towards economic growth, but also pays attention to the protection of indigenous peoples' rights and environmental sustainability as part of the interests of current and future generations.</w:t>
      </w:r>
    </w:p>
    <w:p w14:paraId="1602D0EF" w14:textId="77777777" w:rsidR="00ED3590" w:rsidRPr="00745360" w:rsidRDefault="00ED3590" w:rsidP="00015F1C">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 xml:space="preserve">The harmonization of the legal framework has the potential to reduce agrarian conflicts that have often arisen due to overlapping claims to natural resource areas between the state, business actors, and indigenous peoples. The recognition and integration of customary law norms in natural resource management policies also serves to increase social legitimacy for the implementation of investment projects, because indigenous peoples are placed as legal subjects who have an active role in the decision-making process related to the use of customary territories. </w:t>
      </w:r>
    </w:p>
    <w:p w14:paraId="5246054A" w14:textId="63E052B4" w:rsidR="00757509" w:rsidRPr="00745360" w:rsidRDefault="00ED3590" w:rsidP="005E098C">
      <w:pPr>
        <w:spacing w:after="0" w:line="360" w:lineRule="auto"/>
        <w:ind w:firstLine="709"/>
        <w:jc w:val="both"/>
        <w:rPr>
          <w:rFonts w:asciiTheme="majorHAnsi" w:eastAsia="Times New Roman" w:hAnsiTheme="majorHAnsi" w:cs="Times New Roman"/>
          <w:bCs/>
          <w:color w:val="000000" w:themeColor="text1"/>
          <w:sz w:val="24"/>
          <w:szCs w:val="24"/>
        </w:rPr>
      </w:pPr>
      <w:r w:rsidRPr="00745360">
        <w:rPr>
          <w:rFonts w:asciiTheme="majorHAnsi" w:eastAsia="Times New Roman" w:hAnsiTheme="majorHAnsi" w:cs="Times New Roman"/>
          <w:bCs/>
          <w:color w:val="000000" w:themeColor="text1"/>
          <w:sz w:val="24"/>
          <w:szCs w:val="24"/>
        </w:rPr>
        <w:t>In addition, recognition of indigenous peoples' local knowledge systems can make a significant contribution to strengthening environmental conservation practices, sustainable natural resource management, and mitigation efforts against the impacts of climate change. The harmonization between customary law and investment policies in natural resource management cannot be seen solely as a technical issue in the formation or adjustment of regulations. More than that, the harmonization is part of the process of transforming the development paradigm that places social justice, recognition of indigenous peoples' rights, and environmental sustainability as fundamental principles in the implementation of natural resource governance at the national and local levels</w:t>
      </w:r>
      <w:r w:rsidR="005E098C" w:rsidRPr="00745360">
        <w:rPr>
          <w:rFonts w:asciiTheme="majorHAnsi" w:eastAsia="Times New Roman" w:hAnsiTheme="majorHAnsi" w:cs="Times New Roman"/>
          <w:bCs/>
          <w:color w:val="000000" w:themeColor="text1"/>
          <w:sz w:val="24"/>
          <w:szCs w:val="24"/>
        </w:rPr>
        <w:t>.</w:t>
      </w:r>
    </w:p>
    <w:p w14:paraId="6E28BAE1" w14:textId="77777777" w:rsidR="00240DFC" w:rsidRPr="00745360" w:rsidRDefault="00240DFC" w:rsidP="00240DFC">
      <w:pPr>
        <w:spacing w:after="0" w:line="360" w:lineRule="auto"/>
        <w:ind w:firstLine="709"/>
        <w:jc w:val="both"/>
        <w:rPr>
          <w:rFonts w:asciiTheme="majorHAnsi" w:eastAsia="Times New Roman" w:hAnsiTheme="majorHAnsi" w:cs="Times New Roman"/>
          <w:bCs/>
          <w:color w:val="000000" w:themeColor="text1"/>
          <w:sz w:val="24"/>
          <w:szCs w:val="24"/>
        </w:rPr>
      </w:pPr>
    </w:p>
    <w:p w14:paraId="3F20F9FD" w14:textId="77777777" w:rsidR="00240DFC" w:rsidRPr="00745360" w:rsidRDefault="00240DFC" w:rsidP="00240DFC">
      <w:pPr>
        <w:spacing w:after="0" w:line="360" w:lineRule="auto"/>
        <w:ind w:firstLine="709"/>
        <w:jc w:val="both"/>
        <w:rPr>
          <w:rFonts w:asciiTheme="majorHAnsi" w:eastAsia="Times New Roman" w:hAnsiTheme="majorHAnsi" w:cs="Times New Roman"/>
          <w:bCs/>
          <w:color w:val="000000" w:themeColor="text1"/>
          <w:sz w:val="24"/>
          <w:szCs w:val="24"/>
        </w:rPr>
      </w:pPr>
    </w:p>
    <w:p w14:paraId="34AC9647" w14:textId="77777777" w:rsidR="00240DFC" w:rsidRPr="00745360" w:rsidRDefault="00240DFC" w:rsidP="00240DFC">
      <w:pPr>
        <w:spacing w:after="0" w:line="360" w:lineRule="auto"/>
        <w:ind w:firstLine="709"/>
        <w:jc w:val="both"/>
        <w:rPr>
          <w:rFonts w:asciiTheme="majorHAnsi" w:eastAsia="Times New Roman" w:hAnsiTheme="majorHAnsi" w:cs="Times New Roman"/>
          <w:bCs/>
          <w:color w:val="000000" w:themeColor="text1"/>
          <w:sz w:val="24"/>
          <w:szCs w:val="24"/>
        </w:rPr>
      </w:pPr>
    </w:p>
    <w:p w14:paraId="7CA8FEFC" w14:textId="50F8CE49" w:rsidR="00AC5986" w:rsidRPr="00745360" w:rsidRDefault="00AC5986" w:rsidP="00B26B39">
      <w:pPr>
        <w:spacing w:after="0" w:line="360" w:lineRule="auto"/>
        <w:jc w:val="both"/>
        <w:rPr>
          <w:rFonts w:asciiTheme="majorHAnsi" w:eastAsia="Times New Roman" w:hAnsiTheme="majorHAnsi" w:cs="Times New Roman"/>
          <w:b/>
          <w:color w:val="000000" w:themeColor="text1"/>
          <w:sz w:val="24"/>
          <w:szCs w:val="24"/>
        </w:rPr>
      </w:pPr>
      <w:r w:rsidRPr="00745360">
        <w:rPr>
          <w:rFonts w:asciiTheme="majorHAnsi" w:eastAsia="Times New Roman" w:hAnsiTheme="majorHAnsi" w:cs="Times New Roman"/>
          <w:b/>
          <w:color w:val="000000" w:themeColor="text1"/>
          <w:sz w:val="24"/>
          <w:szCs w:val="24"/>
        </w:rPr>
        <w:t>Conclusion</w:t>
      </w:r>
    </w:p>
    <w:p w14:paraId="5A3A5C95" w14:textId="77777777" w:rsidR="00ED3590" w:rsidRDefault="00ED3590" w:rsidP="005F63D8">
      <w:pPr>
        <w:spacing w:after="0" w:line="360" w:lineRule="auto"/>
        <w:ind w:firstLine="720"/>
        <w:jc w:val="both"/>
        <w:rPr>
          <w:rFonts w:asciiTheme="majorHAnsi" w:hAnsiTheme="majorHAnsi" w:cs="Tahoma"/>
          <w:color w:val="000000" w:themeColor="text1"/>
          <w:sz w:val="24"/>
          <w:szCs w:val="24"/>
          <w:shd w:val="clear" w:color="auto" w:fill="FFFFFF"/>
        </w:rPr>
      </w:pPr>
      <w:r w:rsidRPr="00FF5446">
        <w:rPr>
          <w:rFonts w:asciiTheme="majorHAnsi" w:hAnsiTheme="majorHAnsi" w:cs="Tahoma"/>
          <w:color w:val="000000" w:themeColor="text1"/>
          <w:sz w:val="24"/>
          <w:szCs w:val="24"/>
          <w:shd w:val="clear" w:color="auto" w:fill="FFFFFF"/>
        </w:rPr>
        <w:t xml:space="preserve">This study concludes that the recognition and protection of indigenous peoples’ rights over natural resources in Indonesia formally possess a strong constitutional basis, particularly through Article 18B paragraph (2) and Article 28I paragraph (3) of the 1945 Constitution, as well as the Constitutional Court Decision No. 35/PUU-X/2012 which affirms that customary forests constitute part of indigenous peoples’ rights rather than state forests. Nevertheless, the effectiveness of this recognition remains limited in practice because its implementation is largely procedural and dependent on administrative verification by regional governments. As a consequence, indigenous communities, including those in Desa </w:t>
      </w:r>
      <w:proofErr w:type="spellStart"/>
      <w:r w:rsidRPr="00FF5446">
        <w:rPr>
          <w:rFonts w:asciiTheme="majorHAnsi" w:hAnsiTheme="majorHAnsi" w:cs="Tahoma"/>
          <w:color w:val="000000" w:themeColor="text1"/>
          <w:sz w:val="24"/>
          <w:szCs w:val="24"/>
          <w:shd w:val="clear" w:color="auto" w:fill="FFFFFF"/>
        </w:rPr>
        <w:t>Jelutih</w:t>
      </w:r>
      <w:proofErr w:type="spellEnd"/>
      <w:r w:rsidRPr="00FF5446">
        <w:rPr>
          <w:rFonts w:asciiTheme="majorHAnsi" w:hAnsiTheme="majorHAnsi" w:cs="Tahoma"/>
          <w:color w:val="000000" w:themeColor="text1"/>
          <w:sz w:val="24"/>
          <w:szCs w:val="24"/>
          <w:shd w:val="clear" w:color="auto" w:fill="FFFFFF"/>
        </w:rPr>
        <w:t>, still experience legal uncertainty regarding the recognition of customary territories and the control, access, and distribution of benefits derived from natural resources that have historically been managed through customary institutions.</w:t>
      </w:r>
    </w:p>
    <w:p w14:paraId="1F3492F6" w14:textId="77777777" w:rsidR="009B609C" w:rsidRDefault="009B609C" w:rsidP="00100EB9">
      <w:pPr>
        <w:spacing w:after="0" w:line="360" w:lineRule="auto"/>
        <w:ind w:firstLine="720"/>
        <w:jc w:val="both"/>
        <w:rPr>
          <w:rFonts w:asciiTheme="majorHAnsi" w:hAnsiTheme="majorHAnsi" w:cs="Tahoma"/>
          <w:color w:val="000000" w:themeColor="text1"/>
          <w:sz w:val="24"/>
          <w:szCs w:val="24"/>
          <w:shd w:val="clear" w:color="auto" w:fill="FFFFFF"/>
        </w:rPr>
      </w:pPr>
      <w:r w:rsidRPr="00FF5446">
        <w:rPr>
          <w:rFonts w:asciiTheme="majorHAnsi" w:hAnsiTheme="majorHAnsi" w:cs="Tahoma"/>
          <w:color w:val="000000" w:themeColor="text1"/>
          <w:sz w:val="24"/>
          <w:szCs w:val="24"/>
          <w:shd w:val="clear" w:color="auto" w:fill="FFFFFF"/>
        </w:rPr>
        <w:t>The study also finds that tensions between customary law and investment-based natural resource governance arise from the dominance of state-centered regulatory frameworks that prioritize economic development and investment certainty. In this context, customary law is frequently positioned in a subordinate role, resulting in structural imbalances in natural resource governance and increasing the risk of agrarian conflicts between indigenous communities, government authorities, and private investors. Conversely, customary legal systems practiced by indigenous communities demonstrate governance mechanisms grounded in local wisdom, collective responsibility, and ecological balance, which contribute significantly to sustainable natural resource management.</w:t>
      </w:r>
    </w:p>
    <w:p w14:paraId="757BBCE4" w14:textId="56884B08" w:rsidR="00EA3BD9" w:rsidRPr="00EA3BD9" w:rsidRDefault="00EA3BD9" w:rsidP="00EA3BD9">
      <w:pPr>
        <w:spacing w:after="0" w:line="360" w:lineRule="auto"/>
        <w:ind w:firstLine="720"/>
        <w:jc w:val="both"/>
        <w:rPr>
          <w:rFonts w:asciiTheme="majorHAnsi" w:hAnsiTheme="majorHAnsi" w:cs="Tahoma"/>
          <w:color w:val="000000" w:themeColor="text1"/>
          <w:sz w:val="24"/>
          <w:szCs w:val="24"/>
          <w:shd w:val="clear" w:color="auto" w:fill="FFFFFF"/>
        </w:rPr>
      </w:pPr>
      <w:r w:rsidRPr="00EA3BD9">
        <w:rPr>
          <w:rFonts w:asciiTheme="majorHAnsi" w:hAnsiTheme="majorHAnsi" w:cs="Tahoma"/>
          <w:color w:val="000000" w:themeColor="text1"/>
          <w:sz w:val="24"/>
          <w:szCs w:val="24"/>
          <w:shd w:val="clear" w:color="auto" w:fill="FFFFFF"/>
        </w:rPr>
        <w:t xml:space="preserve">The novelty of this research lies in the development of a conceptual framework for harmonizing customary law and investment policy through a legal pluralism approach that integrates three fundamental dimensions: recognition of indigenous rights, participatory decision-making mechanisms, and equitable </w:t>
      </w:r>
      <w:r w:rsidRPr="00EA3BD9">
        <w:rPr>
          <w:rFonts w:asciiTheme="majorHAnsi" w:hAnsiTheme="majorHAnsi" w:cs="Tahoma"/>
          <w:color w:val="000000" w:themeColor="text1"/>
          <w:sz w:val="24"/>
          <w:szCs w:val="24"/>
          <w:shd w:val="clear" w:color="auto" w:fill="FFFFFF"/>
        </w:rPr>
        <w:lastRenderedPageBreak/>
        <w:t>distribution of economic benefits. Unlike previous studies that mainly focus on normative recognition of indigenous rights, this research emphasizes the need for institutional and governance integration between customary institutions and modern regulatory frameworks in natural resource management.</w:t>
      </w:r>
    </w:p>
    <w:p w14:paraId="4E8A7C54" w14:textId="270A7070" w:rsidR="00FF5446" w:rsidRPr="00745360" w:rsidRDefault="00EA3BD9" w:rsidP="00EA3BD9">
      <w:pPr>
        <w:spacing w:after="0" w:line="360" w:lineRule="auto"/>
        <w:ind w:firstLine="720"/>
        <w:jc w:val="both"/>
        <w:rPr>
          <w:rFonts w:asciiTheme="majorHAnsi" w:hAnsiTheme="majorHAnsi" w:cs="Tahoma"/>
          <w:color w:val="000000" w:themeColor="text1"/>
          <w:sz w:val="24"/>
          <w:szCs w:val="24"/>
          <w:shd w:val="clear" w:color="auto" w:fill="FFFFFF"/>
        </w:rPr>
      </w:pPr>
      <w:r w:rsidRPr="00EA3BD9">
        <w:rPr>
          <w:rFonts w:asciiTheme="majorHAnsi" w:hAnsiTheme="majorHAnsi" w:cs="Tahoma"/>
          <w:color w:val="000000" w:themeColor="text1"/>
          <w:sz w:val="24"/>
          <w:szCs w:val="24"/>
          <w:shd w:val="clear" w:color="auto" w:fill="FFFFFF"/>
        </w:rPr>
        <w:t>Therefore, harmonization between customary law and investment policy should be pursued through strengthening normative recognition of indigenous territories, institutionalizing mechanisms such as Free, Prior and Informed Consent (FPIC), and integrating customary governance structures into formal natural resource management systems. Future research is recommended to explore empirical models of collaborative governance involving indigenous institutions, government authorities, and private sector actors in order to strengthen sustainable, inclusive, and socially just natural resource governance.</w:t>
      </w:r>
    </w:p>
    <w:p w14:paraId="2C9C52AB" w14:textId="77777777" w:rsidR="00AC5986" w:rsidRPr="00745360" w:rsidRDefault="00AC5986" w:rsidP="00B26B39">
      <w:pPr>
        <w:spacing w:after="0" w:line="360" w:lineRule="auto"/>
        <w:jc w:val="both"/>
        <w:rPr>
          <w:rFonts w:asciiTheme="majorHAnsi" w:eastAsia="Times New Roman" w:hAnsiTheme="majorHAnsi" w:cs="Times New Roman"/>
          <w:b/>
          <w:color w:val="000000" w:themeColor="text1"/>
          <w:sz w:val="24"/>
          <w:szCs w:val="24"/>
          <w:lang w:val="en"/>
        </w:rPr>
      </w:pPr>
    </w:p>
    <w:p w14:paraId="29D62E96" w14:textId="77777777" w:rsidR="00B26B39" w:rsidRPr="00745360" w:rsidRDefault="00B26B39" w:rsidP="00B26B39">
      <w:pPr>
        <w:spacing w:after="0" w:line="360" w:lineRule="auto"/>
        <w:jc w:val="both"/>
        <w:rPr>
          <w:rFonts w:asciiTheme="majorHAnsi" w:eastAsia="Times New Roman" w:hAnsiTheme="majorHAnsi" w:cs="Times New Roman"/>
          <w:b/>
          <w:color w:val="000000" w:themeColor="text1"/>
          <w:sz w:val="24"/>
          <w:szCs w:val="24"/>
        </w:rPr>
      </w:pPr>
    </w:p>
    <w:p w14:paraId="18C60038" w14:textId="77777777" w:rsidR="00AC5986" w:rsidRDefault="00AC5986" w:rsidP="00B26B39">
      <w:pPr>
        <w:spacing w:after="0" w:line="360" w:lineRule="auto"/>
        <w:jc w:val="both"/>
        <w:rPr>
          <w:rFonts w:asciiTheme="majorHAnsi" w:hAnsiTheme="majorHAnsi"/>
          <w:b/>
          <w:color w:val="000000" w:themeColor="text1"/>
          <w:sz w:val="24"/>
          <w:szCs w:val="24"/>
        </w:rPr>
      </w:pPr>
      <w:r w:rsidRPr="00745360">
        <w:rPr>
          <w:rFonts w:asciiTheme="majorHAnsi" w:hAnsiTheme="majorHAnsi"/>
          <w:b/>
          <w:color w:val="000000" w:themeColor="text1"/>
          <w:sz w:val="24"/>
          <w:szCs w:val="24"/>
        </w:rPr>
        <w:t>References</w:t>
      </w:r>
    </w:p>
    <w:p w14:paraId="107ECB87" w14:textId="6A9AE0EF"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Pr>
          <w:rFonts w:asciiTheme="majorHAnsi" w:hAnsiTheme="majorHAnsi"/>
          <w:b/>
          <w:color w:val="000000" w:themeColor="text1"/>
          <w:sz w:val="24"/>
          <w:szCs w:val="24"/>
        </w:rPr>
        <w:fldChar w:fldCharType="begin" w:fldLock="1"/>
      </w:r>
      <w:r>
        <w:rPr>
          <w:rFonts w:asciiTheme="majorHAnsi" w:hAnsiTheme="majorHAnsi"/>
          <w:b/>
          <w:color w:val="000000" w:themeColor="text1"/>
          <w:sz w:val="24"/>
          <w:szCs w:val="24"/>
        </w:rPr>
        <w:instrText xml:space="preserve">ADDIN Mendeley Bibliography CSL_BIBLIOGRAPHY </w:instrText>
      </w:r>
      <w:r>
        <w:rPr>
          <w:rFonts w:asciiTheme="majorHAnsi" w:hAnsiTheme="majorHAnsi"/>
          <w:b/>
          <w:color w:val="000000" w:themeColor="text1"/>
          <w:sz w:val="24"/>
          <w:szCs w:val="24"/>
        </w:rPr>
        <w:fldChar w:fldCharType="separate"/>
      </w:r>
      <w:r w:rsidRPr="009A7316">
        <w:rPr>
          <w:rFonts w:ascii="Cambria" w:hAnsi="Cambria" w:cs="Times New Roman"/>
          <w:noProof/>
          <w:sz w:val="24"/>
        </w:rPr>
        <w:t xml:space="preserve">Allard, Christina. “The Rationale for the Duty to Consult Indigenous Peoples: Comparative Reflections from Nordic and Canadian Legal Contexts.” </w:t>
      </w:r>
      <w:r w:rsidRPr="009A7316">
        <w:rPr>
          <w:rFonts w:ascii="Cambria" w:hAnsi="Cambria" w:cs="Times New Roman"/>
          <w:i/>
          <w:iCs/>
          <w:noProof/>
          <w:sz w:val="24"/>
        </w:rPr>
        <w:t>Arctic Review on Law and Politics</w:t>
      </w:r>
      <w:r w:rsidRPr="009A7316">
        <w:rPr>
          <w:rFonts w:ascii="Cambria" w:hAnsi="Cambria" w:cs="Times New Roman"/>
          <w:noProof/>
          <w:sz w:val="24"/>
        </w:rPr>
        <w:t xml:space="preserve"> 9 (February 9, 2018): 25–43. https://doi.org/10.23865/arctic.v9.729.</w:t>
      </w:r>
    </w:p>
    <w:p w14:paraId="6B52B47C"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Arifin, Ridwan, and Siti Hafsyah Idris. “In Dubio Pro Natura: In Doubt, Should the Environment Be a Priority? A Discourse of Environmental Justice in Indonesia.” </w:t>
      </w:r>
      <w:r w:rsidRPr="009A7316">
        <w:rPr>
          <w:rFonts w:ascii="Cambria" w:hAnsi="Cambria" w:cs="Times New Roman"/>
          <w:i/>
          <w:iCs/>
          <w:noProof/>
          <w:sz w:val="24"/>
        </w:rPr>
        <w:t>Jambe Law Journal</w:t>
      </w:r>
      <w:r w:rsidRPr="009A7316">
        <w:rPr>
          <w:rFonts w:ascii="Cambria" w:hAnsi="Cambria" w:cs="Times New Roman"/>
          <w:noProof/>
          <w:sz w:val="24"/>
        </w:rPr>
        <w:t xml:space="preserve"> 6, no. 2 (December 4, 2023): 143–84. https://doi.org/10.22437/jlj.6.2.143-184.</w:t>
      </w:r>
    </w:p>
    <w:p w14:paraId="5EE2ECF6"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Bedner, Adriaan, and Yance Arizona. “Adat in Indonesian Land Law: A Promise for the Future or a Dead End?” </w:t>
      </w:r>
      <w:r w:rsidRPr="009A7316">
        <w:rPr>
          <w:rFonts w:ascii="Cambria" w:hAnsi="Cambria" w:cs="Times New Roman"/>
          <w:i/>
          <w:iCs/>
          <w:noProof/>
          <w:sz w:val="24"/>
        </w:rPr>
        <w:t>Asia Pacific Journal of Anthropology</w:t>
      </w:r>
      <w:r w:rsidRPr="009A7316">
        <w:rPr>
          <w:rFonts w:ascii="Cambria" w:hAnsi="Cambria" w:cs="Times New Roman"/>
          <w:noProof/>
          <w:sz w:val="24"/>
        </w:rPr>
        <w:t xml:space="preserve"> 20, no. 5 (October 20, 2019): 416–34. https://doi.org/10.1080/14442213.2019.1670246;CSUBTYPE:STRING:SPECIAL;PAGE:STRING:ARTICLE/CHAPTER.</w:t>
      </w:r>
    </w:p>
    <w:p w14:paraId="42A97335"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Berkes, Fikret. </w:t>
      </w:r>
      <w:r w:rsidRPr="009A7316">
        <w:rPr>
          <w:rFonts w:ascii="Cambria" w:hAnsi="Cambria" w:cs="Times New Roman"/>
          <w:i/>
          <w:iCs/>
          <w:noProof/>
          <w:sz w:val="24"/>
        </w:rPr>
        <w:t>Sacred Ecology</w:t>
      </w:r>
      <w:r w:rsidRPr="009A7316">
        <w:rPr>
          <w:rFonts w:ascii="Cambria" w:hAnsi="Cambria" w:cs="Times New Roman"/>
          <w:noProof/>
          <w:sz w:val="24"/>
        </w:rPr>
        <w:t>. New York: Routledge, 2017. https://doi.org/10.4324/9781315114644.</w:t>
      </w:r>
    </w:p>
    <w:p w14:paraId="79B589EC"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Blackman, Allen, Leonardo Corral, Eirivelthon Santos Lima, and Gregory P. Asner. “Titling Indigenous Communities Protects Forests in the Peruvian Amazon.” </w:t>
      </w:r>
      <w:r w:rsidRPr="009A7316">
        <w:rPr>
          <w:rFonts w:ascii="Cambria" w:hAnsi="Cambria" w:cs="Times New Roman"/>
          <w:i/>
          <w:iCs/>
          <w:noProof/>
          <w:sz w:val="24"/>
        </w:rPr>
        <w:t>Proceedings of the National Academy of Sciences</w:t>
      </w:r>
      <w:r w:rsidRPr="009A7316">
        <w:rPr>
          <w:rFonts w:ascii="Cambria" w:hAnsi="Cambria" w:cs="Times New Roman"/>
          <w:noProof/>
          <w:sz w:val="24"/>
        </w:rPr>
        <w:t xml:space="preserve"> 114, no. 16 (April 18, 2017): </w:t>
      </w:r>
      <w:r w:rsidRPr="009A7316">
        <w:rPr>
          <w:rFonts w:ascii="Cambria" w:hAnsi="Cambria" w:cs="Times New Roman"/>
          <w:noProof/>
          <w:sz w:val="24"/>
        </w:rPr>
        <w:lastRenderedPageBreak/>
        <w:t>4123–28. https://doi.org/10.1073/pnas.1603290114.</w:t>
      </w:r>
    </w:p>
    <w:p w14:paraId="4479227D"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Brad, Alina, and Jonas Hein. “Towards Transnational Agrarian Conflicts? Global NGOs, Transnational Agrobusiness and Local Struggles for Land on Sumatra.” </w:t>
      </w:r>
      <w:r w:rsidRPr="009A7316">
        <w:rPr>
          <w:rFonts w:ascii="Cambria" w:hAnsi="Cambria" w:cs="Times New Roman"/>
          <w:i/>
          <w:iCs/>
          <w:noProof/>
          <w:sz w:val="24"/>
        </w:rPr>
        <w:t>New Political Economy</w:t>
      </w:r>
      <w:r w:rsidRPr="009A7316">
        <w:rPr>
          <w:rFonts w:ascii="Cambria" w:hAnsi="Cambria" w:cs="Times New Roman"/>
          <w:noProof/>
          <w:sz w:val="24"/>
        </w:rPr>
        <w:t xml:space="preserve"> 28, no. 3 (May 4, 2023): 452–67. https://doi.org/10.1080/13563467.2022.2138300.</w:t>
      </w:r>
    </w:p>
    <w:p w14:paraId="762CE3B5"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Dawson, Neil M., Brendan Coolsaet, Aditi Bhardwaj, Francesca Booker, David Brown, Bosco Lliso, Jacqueline Loos, et al. “Is It Just Conservation? A Typology of Indigenous Peoples’ and Local Communities’ Roles in Conserving Biodiversity.” </w:t>
      </w:r>
      <w:r w:rsidRPr="009A7316">
        <w:rPr>
          <w:rFonts w:ascii="Cambria" w:hAnsi="Cambria" w:cs="Times New Roman"/>
          <w:i/>
          <w:iCs/>
          <w:noProof/>
          <w:sz w:val="24"/>
        </w:rPr>
        <w:t>One Earth</w:t>
      </w:r>
      <w:r w:rsidRPr="009A7316">
        <w:rPr>
          <w:rFonts w:ascii="Cambria" w:hAnsi="Cambria" w:cs="Times New Roman"/>
          <w:noProof/>
          <w:sz w:val="24"/>
        </w:rPr>
        <w:t xml:space="preserve"> 7, no. 6 (June 2024): 1007–21. https://doi.org/10.1016/j.oneear.2024.05.001.</w:t>
      </w:r>
    </w:p>
    <w:p w14:paraId="33288FD7"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Dedihasriadi, La Ode, Adhe Ismail Ananda, Dewi Kania Sugiharti, Arie Ekawie Baskhoro, and A. Muhammad Hasgar A.S. “Strengthening Indigenous Peoples’ Rights: Integrating The Fpic Principle Into Indonesia’s Mining Legal Framework.” </w:t>
      </w:r>
      <w:r w:rsidRPr="009A7316">
        <w:rPr>
          <w:rFonts w:ascii="Cambria" w:hAnsi="Cambria" w:cs="Times New Roman"/>
          <w:i/>
          <w:iCs/>
          <w:noProof/>
          <w:sz w:val="24"/>
        </w:rPr>
        <w:t>Cepalo</w:t>
      </w:r>
      <w:r w:rsidRPr="009A7316">
        <w:rPr>
          <w:rFonts w:ascii="Cambria" w:hAnsi="Cambria" w:cs="Times New Roman"/>
          <w:noProof/>
          <w:sz w:val="24"/>
        </w:rPr>
        <w:t xml:space="preserve"> 10, no. 1 (January 26, 2026): 1–12. https://doi.org/10.25041/cepalo.v10no1.4899.</w:t>
      </w:r>
    </w:p>
    <w:p w14:paraId="3622F2F6"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Do, Minh. “Throughput Legitimacy and the Duty to Consult: The Limits of the Law to Produce Quality Interactions in British Columbia’s EA Process.” </w:t>
      </w:r>
      <w:r w:rsidRPr="009A7316">
        <w:rPr>
          <w:rFonts w:ascii="Cambria" w:hAnsi="Cambria" w:cs="Times New Roman"/>
          <w:i/>
          <w:iCs/>
          <w:noProof/>
          <w:sz w:val="24"/>
        </w:rPr>
        <w:t>Canadian Journal of Political Science</w:t>
      </w:r>
      <w:r w:rsidRPr="009A7316">
        <w:rPr>
          <w:rFonts w:ascii="Cambria" w:hAnsi="Cambria" w:cs="Times New Roman"/>
          <w:noProof/>
          <w:sz w:val="24"/>
        </w:rPr>
        <w:t xml:space="preserve"> 53, no. 3 (September 28, 2020): 577–95. https://doi.org/10.1017/S000842392000027X.</w:t>
      </w:r>
    </w:p>
    <w:p w14:paraId="75CFA89F"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Dwi Suryahartati, Firya Otaviarni, Windarto Windarto, Sukamto Satoto, and Suhermi Suhermi. “The Local Customary Law: The Contribution of Adat Law in Preserving the Lubuk Larangan in Jambi.” </w:t>
      </w:r>
      <w:r w:rsidRPr="009A7316">
        <w:rPr>
          <w:rFonts w:ascii="Cambria" w:hAnsi="Cambria" w:cs="Times New Roman"/>
          <w:i/>
          <w:iCs/>
          <w:noProof/>
          <w:sz w:val="24"/>
        </w:rPr>
        <w:t>Jambe Law Journal</w:t>
      </w:r>
      <w:r w:rsidRPr="009A7316">
        <w:rPr>
          <w:rFonts w:ascii="Cambria" w:hAnsi="Cambria" w:cs="Times New Roman"/>
          <w:noProof/>
          <w:sz w:val="24"/>
        </w:rPr>
        <w:t xml:space="preserve"> 4, no. 1 (November 14, 2021): 43–68. https://doi.org/10.22437/jlj.4.1.43-68.</w:t>
      </w:r>
    </w:p>
    <w:p w14:paraId="3A84D320"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Farhani, Athari, and Ibnu Sina Chandranegara. “Penguasaan Negara Terhadap Pemanfaatan Sumber Daya Alam Ruang Angkasa Menurut Undang-Undang Dasar Negara Republik Indonesia Tahun 1945.” </w:t>
      </w:r>
      <w:r w:rsidRPr="009A7316">
        <w:rPr>
          <w:rFonts w:ascii="Cambria" w:hAnsi="Cambria" w:cs="Times New Roman"/>
          <w:i/>
          <w:iCs/>
          <w:noProof/>
          <w:sz w:val="24"/>
        </w:rPr>
        <w:t>Jurnal Konstitusi</w:t>
      </w:r>
      <w:r w:rsidRPr="009A7316">
        <w:rPr>
          <w:rFonts w:ascii="Cambria" w:hAnsi="Cambria" w:cs="Times New Roman"/>
          <w:noProof/>
          <w:sz w:val="24"/>
        </w:rPr>
        <w:t xml:space="preserve"> 16, no. 2 (July 11, 2019): 235. https://doi.org/10.31078/jk1622.</w:t>
      </w:r>
    </w:p>
    <w:p w14:paraId="14A433BE"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Fogarty, James J., and Simon Sagerer. “Exploration Externalities and Government Subsidies: The Return to Government.” </w:t>
      </w:r>
      <w:r w:rsidRPr="009A7316">
        <w:rPr>
          <w:rFonts w:ascii="Cambria" w:hAnsi="Cambria" w:cs="Times New Roman"/>
          <w:i/>
          <w:iCs/>
          <w:noProof/>
          <w:sz w:val="24"/>
        </w:rPr>
        <w:t>Resources Policy</w:t>
      </w:r>
      <w:r w:rsidRPr="009A7316">
        <w:rPr>
          <w:rFonts w:ascii="Cambria" w:hAnsi="Cambria" w:cs="Times New Roman"/>
          <w:noProof/>
          <w:sz w:val="24"/>
        </w:rPr>
        <w:t xml:space="preserve"> 47 (March 2016): 78–86. https://doi.org/10.1016/j.resourpol.2016.01.002.</w:t>
      </w:r>
    </w:p>
    <w:p w14:paraId="7A61AD94"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GALINDEZ, Kyle. “Social Movements and Civil Governance in Hong Kong.” </w:t>
      </w:r>
      <w:r w:rsidRPr="009A7316">
        <w:rPr>
          <w:rFonts w:ascii="Cambria" w:hAnsi="Cambria" w:cs="Times New Roman"/>
          <w:i/>
          <w:iCs/>
          <w:noProof/>
          <w:sz w:val="24"/>
        </w:rPr>
        <w:t>Asian Journal of Law and Society</w:t>
      </w:r>
      <w:r w:rsidRPr="009A7316">
        <w:rPr>
          <w:rFonts w:ascii="Cambria" w:hAnsi="Cambria" w:cs="Times New Roman"/>
          <w:noProof/>
          <w:sz w:val="24"/>
        </w:rPr>
        <w:t xml:space="preserve"> 6, no. 01 (May 20, 2019): 216–18. https://doi.org/10.1017/als.2019.4.</w:t>
      </w:r>
    </w:p>
    <w:p w14:paraId="104CF164"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Herlambang P. Wiratraman. “Cultural Expertise and the Social Justice Defense of Indigenous Peoples Rights in the Indonesian Constitutional Court.” </w:t>
      </w:r>
      <w:r w:rsidRPr="009A7316">
        <w:rPr>
          <w:rFonts w:ascii="Cambria" w:hAnsi="Cambria" w:cs="Times New Roman"/>
          <w:i/>
          <w:iCs/>
          <w:noProof/>
          <w:sz w:val="24"/>
        </w:rPr>
        <w:t>Constitutional Review</w:t>
      </w:r>
      <w:r w:rsidRPr="009A7316">
        <w:rPr>
          <w:rFonts w:ascii="Cambria" w:hAnsi="Cambria" w:cs="Times New Roman"/>
          <w:noProof/>
          <w:sz w:val="24"/>
        </w:rPr>
        <w:t xml:space="preserve"> 11, no. 2 (December 31, 2025): 299–339. https://doi.org/10.31078/consrev1122.</w:t>
      </w:r>
    </w:p>
    <w:p w14:paraId="72D54F15"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lastRenderedPageBreak/>
        <w:t xml:space="preserve">Holden, William, Kathleen Nadeau, and R. Daniel Jacobson. “Exemplifying Accumulation by Dispossession: Mining and Indigenous Peoples in the Philippines.” </w:t>
      </w:r>
      <w:r w:rsidRPr="009A7316">
        <w:rPr>
          <w:rFonts w:ascii="Cambria" w:hAnsi="Cambria" w:cs="Times New Roman"/>
          <w:i/>
          <w:iCs/>
          <w:noProof/>
          <w:sz w:val="24"/>
        </w:rPr>
        <w:t>Geografiska Annaler: Series B, Human Geography</w:t>
      </w:r>
      <w:r w:rsidRPr="009A7316">
        <w:rPr>
          <w:rFonts w:ascii="Cambria" w:hAnsi="Cambria" w:cs="Times New Roman"/>
          <w:noProof/>
          <w:sz w:val="24"/>
        </w:rPr>
        <w:t xml:space="preserve"> 93, no. 2 (June 10, 2011): 141–61. https://doi.org/10.1111/j.1468-0467.2011.00366.x.</w:t>
      </w:r>
    </w:p>
    <w:p w14:paraId="7C47DCF3"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Hussain, Muzzammil, Zhiwei Ye, Adnan Bashir, Naveed Iqbal Chaudhry, and Yingjun Zhao. “A Nexus of Natural Resource Rents, Institutional Quality, Human Capital, and Financial Development in Resource-Rich High-Income Economies.” </w:t>
      </w:r>
      <w:r w:rsidRPr="009A7316">
        <w:rPr>
          <w:rFonts w:ascii="Cambria" w:hAnsi="Cambria" w:cs="Times New Roman"/>
          <w:i/>
          <w:iCs/>
          <w:noProof/>
          <w:sz w:val="24"/>
        </w:rPr>
        <w:t>Resources Policy</w:t>
      </w:r>
      <w:r w:rsidRPr="009A7316">
        <w:rPr>
          <w:rFonts w:ascii="Cambria" w:hAnsi="Cambria" w:cs="Times New Roman"/>
          <w:noProof/>
          <w:sz w:val="24"/>
        </w:rPr>
        <w:t xml:space="preserve"> 74 (December 2021): 102259. https://doi.org/10.1016/j.resourpol.2021.102259.</w:t>
      </w:r>
    </w:p>
    <w:p w14:paraId="6BF44E16"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Jaenong, Dhita Puthi, Liliana Nur Ahimi, and Zubaedillah Zubaedillah. “Customary Law and Natural Resource Governance: Strengthening Indigenous Rights in Environmental Management.” </w:t>
      </w:r>
      <w:r w:rsidRPr="009A7316">
        <w:rPr>
          <w:rFonts w:ascii="Cambria" w:hAnsi="Cambria" w:cs="Times New Roman"/>
          <w:i/>
          <w:iCs/>
          <w:noProof/>
          <w:sz w:val="24"/>
        </w:rPr>
        <w:t>Hakim: Jurnal Ilmu Hukum Dan Sosial</w:t>
      </w:r>
      <w:r w:rsidRPr="009A7316">
        <w:rPr>
          <w:rFonts w:ascii="Cambria" w:hAnsi="Cambria" w:cs="Times New Roman"/>
          <w:noProof/>
          <w:sz w:val="24"/>
        </w:rPr>
        <w:t xml:space="preserve"> 3, no. 2 (May 30, 2025): 1164–78. https://doi.org/10.51903/t8hwbv11.</w:t>
      </w:r>
    </w:p>
    <w:p w14:paraId="16648CEB"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Karso, A. Junaedi. “Natural Resources Governance and the Vulnerability of Indigenous Communities in Indonesia.” </w:t>
      </w:r>
      <w:r w:rsidRPr="009A7316">
        <w:rPr>
          <w:rFonts w:ascii="Cambria" w:hAnsi="Cambria" w:cs="Times New Roman"/>
          <w:i/>
          <w:iCs/>
          <w:noProof/>
          <w:sz w:val="24"/>
        </w:rPr>
        <w:t>Frontiers in Political Science</w:t>
      </w:r>
      <w:r w:rsidRPr="009A7316">
        <w:rPr>
          <w:rFonts w:ascii="Cambria" w:hAnsi="Cambria" w:cs="Times New Roman"/>
          <w:noProof/>
          <w:sz w:val="24"/>
        </w:rPr>
        <w:t xml:space="preserve"> 7 (November 13, 2025). https://doi.org/10.3389/fpos.2025.1601480.</w:t>
      </w:r>
    </w:p>
    <w:p w14:paraId="2A7ECEA4"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Krismawati, Wulan, and Ardeli Zena El Fareeha. “Legal Policy on the Recognition of Indigenous Peoples’ Rights in the Draft Indigenous Peoples’ Law.” </w:t>
      </w:r>
      <w:r w:rsidRPr="009A7316">
        <w:rPr>
          <w:rFonts w:ascii="Cambria" w:hAnsi="Cambria" w:cs="Times New Roman"/>
          <w:i/>
          <w:iCs/>
          <w:noProof/>
          <w:sz w:val="24"/>
        </w:rPr>
        <w:t>Asian Journal of Law and Humanity</w:t>
      </w:r>
      <w:r w:rsidRPr="009A7316">
        <w:rPr>
          <w:rFonts w:ascii="Cambria" w:hAnsi="Cambria" w:cs="Times New Roman"/>
          <w:noProof/>
          <w:sz w:val="24"/>
        </w:rPr>
        <w:t xml:space="preserve"> 5, no. 1 (March 14, 2025): 17–32. https://doi.org/10.28918/ajlh.v5i1.2.</w:t>
      </w:r>
    </w:p>
    <w:p w14:paraId="5DCA370D"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Kusniati, Retno. “Free, Prior, and Informed Consent Principles as Indigenous Peoples’ Right: Soft Law or Hard Law?” </w:t>
      </w:r>
      <w:r w:rsidRPr="009A7316">
        <w:rPr>
          <w:rFonts w:ascii="Cambria" w:hAnsi="Cambria" w:cs="Times New Roman"/>
          <w:i/>
          <w:iCs/>
          <w:noProof/>
          <w:sz w:val="24"/>
        </w:rPr>
        <w:t>Jambe Law Journal</w:t>
      </w:r>
      <w:r w:rsidRPr="009A7316">
        <w:rPr>
          <w:rFonts w:ascii="Cambria" w:hAnsi="Cambria" w:cs="Times New Roman"/>
          <w:noProof/>
          <w:sz w:val="24"/>
        </w:rPr>
        <w:t xml:space="preserve"> 7, no. 1 (July 30, 2024): 169–93. https://doi.org/10.22437/home.v7i1.350.</w:t>
      </w:r>
    </w:p>
    <w:p w14:paraId="31AEE6E2"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la Fuente, Alejandro de. “Remittances and Vulnerability to Poverty in Rural Mexico.” </w:t>
      </w:r>
      <w:r w:rsidRPr="009A7316">
        <w:rPr>
          <w:rFonts w:ascii="Cambria" w:hAnsi="Cambria" w:cs="Times New Roman"/>
          <w:i/>
          <w:iCs/>
          <w:noProof/>
          <w:sz w:val="24"/>
        </w:rPr>
        <w:t>World Development</w:t>
      </w:r>
      <w:r w:rsidRPr="009A7316">
        <w:rPr>
          <w:rFonts w:ascii="Cambria" w:hAnsi="Cambria" w:cs="Times New Roman"/>
          <w:noProof/>
          <w:sz w:val="24"/>
        </w:rPr>
        <w:t xml:space="preserve"> 38, no. 6 (June 2010): 828–39. https://doi.org/10.1016/j.worlddev.2010.02.002.</w:t>
      </w:r>
    </w:p>
    <w:p w14:paraId="1DDC3AEE"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Larsen, Peter Bille. “Contextualising Ratification and Implementation: A Critical Appraisal of ILO Convention 169 from a Social Justice Perspective.” </w:t>
      </w:r>
      <w:r w:rsidRPr="009A7316">
        <w:rPr>
          <w:rFonts w:ascii="Cambria" w:hAnsi="Cambria" w:cs="Times New Roman"/>
          <w:i/>
          <w:iCs/>
          <w:noProof/>
          <w:sz w:val="24"/>
        </w:rPr>
        <w:t>The International Journal of Human Rights</w:t>
      </w:r>
      <w:r w:rsidRPr="009A7316">
        <w:rPr>
          <w:rFonts w:ascii="Cambria" w:hAnsi="Cambria" w:cs="Times New Roman"/>
          <w:noProof/>
          <w:sz w:val="24"/>
        </w:rPr>
        <w:t xml:space="preserve"> 24, no. 2–3 (February 7, 2020): 94–111. https://doi.org/10.1080/13642987.2019.1677613.</w:t>
      </w:r>
    </w:p>
    <w:p w14:paraId="24CD733C"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Mandala, Maulana Hendra, Maria Ana Muryani, and M.Khoirur Rofiq. “The Threat of Green Grabbing to Indigenous Peoples’ Rights in the Implementation of Law Number 32 of 2024.” </w:t>
      </w:r>
      <w:r w:rsidRPr="009A7316">
        <w:rPr>
          <w:rFonts w:ascii="Cambria" w:hAnsi="Cambria" w:cs="Times New Roman"/>
          <w:i/>
          <w:iCs/>
          <w:noProof/>
          <w:sz w:val="24"/>
        </w:rPr>
        <w:t>JUSTISI</w:t>
      </w:r>
      <w:r w:rsidRPr="009A7316">
        <w:rPr>
          <w:rFonts w:ascii="Cambria" w:hAnsi="Cambria" w:cs="Times New Roman"/>
          <w:noProof/>
          <w:sz w:val="24"/>
        </w:rPr>
        <w:t xml:space="preserve"> 11, no. 3 (September 6, 2025): 874–88. https://doi.org/10.33506/js.v11i3.4601.</w:t>
      </w:r>
    </w:p>
    <w:p w14:paraId="78CA962A"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Maran, Mary Grace Megumi. “The Role of the Lamaholot Tribal Customary Justice Institution in Settling Customary Violations during Murung Keneber (Planting Season).” </w:t>
      </w:r>
      <w:r w:rsidRPr="009A7316">
        <w:rPr>
          <w:rFonts w:ascii="Cambria" w:hAnsi="Cambria" w:cs="Times New Roman"/>
          <w:i/>
          <w:iCs/>
          <w:noProof/>
          <w:sz w:val="24"/>
        </w:rPr>
        <w:t>Mendapo: Journal of Administrative Law</w:t>
      </w:r>
      <w:r w:rsidRPr="009A7316">
        <w:rPr>
          <w:rFonts w:ascii="Cambria" w:hAnsi="Cambria" w:cs="Times New Roman"/>
          <w:noProof/>
          <w:sz w:val="24"/>
        </w:rPr>
        <w:t xml:space="preserve"> 6, no. 1 (February 1, 2025): </w:t>
      </w:r>
      <w:r w:rsidRPr="009A7316">
        <w:rPr>
          <w:rFonts w:ascii="Cambria" w:hAnsi="Cambria" w:cs="Times New Roman"/>
          <w:noProof/>
          <w:sz w:val="24"/>
        </w:rPr>
        <w:lastRenderedPageBreak/>
        <w:t>41–58. https://doi.org/10.22437/MENDAPO.V6I1.38556.</w:t>
      </w:r>
    </w:p>
    <w:p w14:paraId="0EEFD381"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MARSH, Luke. “The Strategic Use of Human Rights Treaties in Hong Kong’s Cage-Home Crisis: No Way Out?” </w:t>
      </w:r>
      <w:r w:rsidRPr="009A7316">
        <w:rPr>
          <w:rFonts w:ascii="Cambria" w:hAnsi="Cambria" w:cs="Times New Roman"/>
          <w:i/>
          <w:iCs/>
          <w:noProof/>
          <w:sz w:val="24"/>
        </w:rPr>
        <w:t>Asian Journal of Law and Society</w:t>
      </w:r>
      <w:r w:rsidRPr="009A7316">
        <w:rPr>
          <w:rFonts w:ascii="Cambria" w:hAnsi="Cambria" w:cs="Times New Roman"/>
          <w:noProof/>
          <w:sz w:val="24"/>
        </w:rPr>
        <w:t xml:space="preserve"> 3, no. 1 (May 1, 2016): 159–88. https://doi.org/10.1017/als.2015.23.</w:t>
      </w:r>
    </w:p>
    <w:p w14:paraId="2191B449"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Metcalf, Cherie. “Indigenous Land Ownership and Title in Canada: Implications for a Northern Corridor.” </w:t>
      </w:r>
      <w:r w:rsidRPr="009A7316">
        <w:rPr>
          <w:rFonts w:ascii="Cambria" w:hAnsi="Cambria" w:cs="Times New Roman"/>
          <w:i/>
          <w:iCs/>
          <w:noProof/>
          <w:sz w:val="24"/>
        </w:rPr>
        <w:t>The School of Public Policy Publications</w:t>
      </w:r>
      <w:r w:rsidRPr="009A7316">
        <w:rPr>
          <w:rFonts w:ascii="Cambria" w:hAnsi="Cambria" w:cs="Times New Roman"/>
          <w:noProof/>
          <w:sz w:val="24"/>
        </w:rPr>
        <w:t xml:space="preserve"> 16, no. 1 (June 21, 2023). https://doi.org/10.55016/ojs/sppp.v16i1.76089.</w:t>
      </w:r>
    </w:p>
    <w:p w14:paraId="6DBE25BD"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Pahlefi, Eko Nuriyatman, and Lili Naili Hidayah. </w:t>
      </w:r>
      <w:r w:rsidRPr="009A7316">
        <w:rPr>
          <w:rFonts w:ascii="Cambria" w:hAnsi="Cambria" w:cs="Times New Roman"/>
          <w:i/>
          <w:iCs/>
          <w:noProof/>
          <w:sz w:val="24"/>
        </w:rPr>
        <w:t>Sumber Daya Alam Dalam Perspektif Hukum Adat</w:t>
      </w:r>
      <w:r w:rsidRPr="009A7316">
        <w:rPr>
          <w:rFonts w:ascii="Cambria" w:hAnsi="Cambria" w:cs="Times New Roman"/>
          <w:noProof/>
          <w:sz w:val="24"/>
        </w:rPr>
        <w:t>. Jakarta Selatan: Damera Press, 2023.</w:t>
      </w:r>
    </w:p>
    <w:p w14:paraId="32BABFF8"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Paulus Pora Putra Fajar, Sukardan Aloysius, and Husni Kusuma Dinata. “Implikasi Putusan Mahkamah Konstitusi Nomor 35/PUU-X/2012 Terhadap Pengaturan Hutan Adat Dan Dampaknya Terhadap Hak Masyarakat Adat.” </w:t>
      </w:r>
      <w:r w:rsidRPr="009A7316">
        <w:rPr>
          <w:rFonts w:ascii="Cambria" w:hAnsi="Cambria" w:cs="Times New Roman"/>
          <w:i/>
          <w:iCs/>
          <w:noProof/>
          <w:sz w:val="24"/>
        </w:rPr>
        <w:t>Perkara : Jurnal Ilmu Hukum Dan Politik</w:t>
      </w:r>
      <w:r w:rsidRPr="009A7316">
        <w:rPr>
          <w:rFonts w:ascii="Cambria" w:hAnsi="Cambria" w:cs="Times New Roman"/>
          <w:noProof/>
          <w:sz w:val="24"/>
        </w:rPr>
        <w:t xml:space="preserve"> 2, no. 2 (April 7, 2024): 39–61. https://doi.org/10.51903/perkara.v2i2.1844.</w:t>
      </w:r>
    </w:p>
    <w:p w14:paraId="41634DC2"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Rafiqi, Ilham Dwi. “Recognition of Indigenous Peoples Values in Indonesia for Policy Addressing Climate Change.” </w:t>
      </w:r>
      <w:r w:rsidRPr="009A7316">
        <w:rPr>
          <w:rFonts w:ascii="Cambria" w:hAnsi="Cambria" w:cs="Times New Roman"/>
          <w:i/>
          <w:iCs/>
          <w:noProof/>
          <w:sz w:val="24"/>
        </w:rPr>
        <w:t>Journal of Law and Legal Reform</w:t>
      </w:r>
      <w:r w:rsidRPr="009A7316">
        <w:rPr>
          <w:rFonts w:ascii="Cambria" w:hAnsi="Cambria" w:cs="Times New Roman"/>
          <w:noProof/>
          <w:sz w:val="24"/>
        </w:rPr>
        <w:t xml:space="preserve"> 6, no. 1 (March 13, 2025): 1–40. https://doi.org/10.15294/jllr.v6i1.11746.</w:t>
      </w:r>
    </w:p>
    <w:p w14:paraId="19AADBF4"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Reid, Leya. “Native Title, Land Rights and Aboriginal Self-Determination.” </w:t>
      </w:r>
      <w:r w:rsidRPr="009A7316">
        <w:rPr>
          <w:rFonts w:ascii="Cambria" w:hAnsi="Cambria" w:cs="Times New Roman"/>
          <w:i/>
          <w:iCs/>
          <w:noProof/>
          <w:sz w:val="24"/>
        </w:rPr>
        <w:t>NEW: Emerging Scholars in Australian Indigenous Studies</w:t>
      </w:r>
      <w:r w:rsidRPr="009A7316">
        <w:rPr>
          <w:rFonts w:ascii="Cambria" w:hAnsi="Cambria" w:cs="Times New Roman"/>
          <w:noProof/>
          <w:sz w:val="24"/>
        </w:rPr>
        <w:t xml:space="preserve"> 4, no. 1 (March 15, 2019): 8–13. https://doi.org/10.5130/nesais.v4i1.1537.</w:t>
      </w:r>
    </w:p>
    <w:p w14:paraId="4AC4D643"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Retno Kus Setyowati. “Pengakuan Negara Terhadap Masyarakat Hukum Adat.” </w:t>
      </w:r>
      <w:r w:rsidRPr="009A7316">
        <w:rPr>
          <w:rFonts w:ascii="Cambria" w:hAnsi="Cambria" w:cs="Times New Roman"/>
          <w:i/>
          <w:iCs/>
          <w:noProof/>
          <w:sz w:val="24"/>
        </w:rPr>
        <w:t>Binamulia Hukum</w:t>
      </w:r>
      <w:r w:rsidRPr="009A7316">
        <w:rPr>
          <w:rFonts w:ascii="Cambria" w:hAnsi="Cambria" w:cs="Times New Roman"/>
          <w:noProof/>
          <w:sz w:val="24"/>
        </w:rPr>
        <w:t xml:space="preserve"> 12, no. 1 (August 27, 2023): 131–42. https://doi.org/10.37893/jbh.v12i1.601.</w:t>
      </w:r>
    </w:p>
    <w:p w14:paraId="7C5CB223"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Sangaramoorthy, Thurka. “Maryland Is Not for Shale: Scientific and Public Anxieties of Predicting Health Impacts of Fracking.” </w:t>
      </w:r>
      <w:r w:rsidRPr="009A7316">
        <w:rPr>
          <w:rFonts w:ascii="Cambria" w:hAnsi="Cambria" w:cs="Times New Roman"/>
          <w:i/>
          <w:iCs/>
          <w:noProof/>
          <w:sz w:val="24"/>
        </w:rPr>
        <w:t>The Extractive Industries and Society</w:t>
      </w:r>
      <w:r w:rsidRPr="009A7316">
        <w:rPr>
          <w:rFonts w:ascii="Cambria" w:hAnsi="Cambria" w:cs="Times New Roman"/>
          <w:noProof/>
          <w:sz w:val="24"/>
        </w:rPr>
        <w:t xml:space="preserve"> 6, no. 2 (April 2019): 463–70. https://doi.org/10.1016/j.exis.2018.11.003.</w:t>
      </w:r>
    </w:p>
    <w:p w14:paraId="0B2AD4D7"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Sayuti, Ageng Triganda, Windarto Windarto, Muhammad Randhy Martadinata, Muhammad Ali Ridho, and Sulhi Muhamad Daud Abdul Kadir. “Legal Realism and the Future of Palm Oil Management in Indonesia.” </w:t>
      </w:r>
      <w:r w:rsidRPr="009A7316">
        <w:rPr>
          <w:rFonts w:ascii="Cambria" w:hAnsi="Cambria" w:cs="Times New Roman"/>
          <w:i/>
          <w:iCs/>
          <w:noProof/>
          <w:sz w:val="24"/>
        </w:rPr>
        <w:t>Jambe Law Journal</w:t>
      </w:r>
      <w:r w:rsidRPr="009A7316">
        <w:rPr>
          <w:rFonts w:ascii="Cambria" w:hAnsi="Cambria" w:cs="Times New Roman"/>
          <w:noProof/>
          <w:sz w:val="24"/>
        </w:rPr>
        <w:t xml:space="preserve"> 8, no. 1 (July 31, 2025): 375–98. https://doi.org/10.22437/home.v8i1.342.</w:t>
      </w:r>
    </w:p>
    <w:p w14:paraId="0533F3C8"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Schindler, Jana, Frieder Graef, Hannes Jochen König, Devotha Mchau, Paul Saidia, and Stefan Sieber. “Sustainability Impact Assessment to Improve Food Security of Smallholders in Tanzania.” </w:t>
      </w:r>
      <w:r w:rsidRPr="009A7316">
        <w:rPr>
          <w:rFonts w:ascii="Cambria" w:hAnsi="Cambria" w:cs="Times New Roman"/>
          <w:i/>
          <w:iCs/>
          <w:noProof/>
          <w:sz w:val="24"/>
        </w:rPr>
        <w:t>Environmental Impact Assessment Review</w:t>
      </w:r>
      <w:r w:rsidRPr="009A7316">
        <w:rPr>
          <w:rFonts w:ascii="Cambria" w:hAnsi="Cambria" w:cs="Times New Roman"/>
          <w:noProof/>
          <w:sz w:val="24"/>
        </w:rPr>
        <w:t xml:space="preserve"> 60 (September 2016): 52–63. https://doi.org/10.1016/j.eiar.2016.04.006.</w:t>
      </w:r>
    </w:p>
    <w:p w14:paraId="351BF18F"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Septarina, Muthia. “Tata Kelola Hutan Adat Pasca Putusan MK No 35/PUU-X/2012.” </w:t>
      </w:r>
      <w:r w:rsidRPr="009A7316">
        <w:rPr>
          <w:rFonts w:ascii="Cambria" w:hAnsi="Cambria" w:cs="Times New Roman"/>
          <w:i/>
          <w:iCs/>
          <w:noProof/>
          <w:sz w:val="24"/>
        </w:rPr>
        <w:lastRenderedPageBreak/>
        <w:t>Al-Adl : Jurnal Hukum</w:t>
      </w:r>
      <w:r w:rsidRPr="009A7316">
        <w:rPr>
          <w:rFonts w:ascii="Cambria" w:hAnsi="Cambria" w:cs="Times New Roman"/>
          <w:noProof/>
          <w:sz w:val="24"/>
        </w:rPr>
        <w:t xml:space="preserve"> 5, no. 10 (July 1, 2013). https://doi.org/10.31602/al-adl.v5i10.190.</w:t>
      </w:r>
    </w:p>
    <w:p w14:paraId="0C0ED3BE"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Shrinkhal, Rashwet. “"Indigenous Sovereignty” and Right to Self-Determination in International Law: A Critical Appraisal.” </w:t>
      </w:r>
      <w:r w:rsidRPr="009A7316">
        <w:rPr>
          <w:rFonts w:ascii="Cambria" w:hAnsi="Cambria" w:cs="Times New Roman"/>
          <w:i/>
          <w:iCs/>
          <w:noProof/>
          <w:sz w:val="24"/>
        </w:rPr>
        <w:t>AlterNative: An International Journal of Indigenous Peoples</w:t>
      </w:r>
      <w:r w:rsidRPr="009A7316">
        <w:rPr>
          <w:rFonts w:ascii="Cambria" w:hAnsi="Cambria" w:cs="Times New Roman"/>
          <w:noProof/>
          <w:sz w:val="24"/>
        </w:rPr>
        <w:t xml:space="preserve"> 17, no. 1 (March 15, 2021): 71–82. https://doi.org/10.1177/1177180121994681.</w:t>
      </w:r>
    </w:p>
    <w:p w14:paraId="2FDDDCDE"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Soelistyowati, Soelistyowati. “Reassessing State Responsibility for Indigenous Rights to Natural Resources Based on Justice Principle.” </w:t>
      </w:r>
      <w:r w:rsidRPr="009A7316">
        <w:rPr>
          <w:rFonts w:ascii="Cambria" w:hAnsi="Cambria" w:cs="Times New Roman"/>
          <w:i/>
          <w:iCs/>
          <w:noProof/>
          <w:sz w:val="24"/>
        </w:rPr>
        <w:t>Jambe Law Journal</w:t>
      </w:r>
      <w:r w:rsidRPr="009A7316">
        <w:rPr>
          <w:rFonts w:ascii="Cambria" w:hAnsi="Cambria" w:cs="Times New Roman"/>
          <w:noProof/>
          <w:sz w:val="24"/>
        </w:rPr>
        <w:t xml:space="preserve"> 7, no. 1 (July 30, 2024): 149–67. https://doi.org/10.22437/home.v7i1.347.</w:t>
      </w:r>
    </w:p>
    <w:p w14:paraId="6D6EF701"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Sugianto, Tarmudi, Ahmad Royhan Bustomi, Derrel Azhar Sugianto, and Fardan Zidane Juniawan. “Politik Hukum Dalam Pengelolaan Sumber Daya Alam: Antara Kepentingan Negara Dan Hak Masyarakat Adat.” </w:t>
      </w:r>
      <w:r w:rsidRPr="009A7316">
        <w:rPr>
          <w:rFonts w:ascii="Cambria" w:hAnsi="Cambria" w:cs="Times New Roman"/>
          <w:i/>
          <w:iCs/>
          <w:noProof/>
          <w:sz w:val="24"/>
        </w:rPr>
        <w:t>Hutanasyah : Jurnal Hukum Tata Negara</w:t>
      </w:r>
      <w:r w:rsidRPr="009A7316">
        <w:rPr>
          <w:rFonts w:ascii="Cambria" w:hAnsi="Cambria" w:cs="Times New Roman"/>
          <w:noProof/>
          <w:sz w:val="24"/>
        </w:rPr>
        <w:t xml:space="preserve"> 4, no. 1 (August 30, 2025): 89–100. https://doi.org/10.37092/hutanasyah.v4i1.1191.</w:t>
      </w:r>
    </w:p>
    <w:p w14:paraId="5506D0B5"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Suparto. “Kedudukan Dan Proses Penetapan Hutan Adat Pasca Putusan Mahkamah Konstitusi No. 35/Puu-X/2012 Serta Implementasinya Di Provinsi Riau.” </w:t>
      </w:r>
      <w:r w:rsidRPr="009A7316">
        <w:rPr>
          <w:rFonts w:ascii="Cambria" w:hAnsi="Cambria" w:cs="Times New Roman"/>
          <w:i/>
          <w:iCs/>
          <w:noProof/>
          <w:sz w:val="24"/>
        </w:rPr>
        <w:t>Bina Hukum Lingkugan</w:t>
      </w:r>
      <w:r w:rsidRPr="009A7316">
        <w:rPr>
          <w:rFonts w:ascii="Cambria" w:hAnsi="Cambria" w:cs="Times New Roman"/>
          <w:noProof/>
          <w:sz w:val="24"/>
        </w:rPr>
        <w:t xml:space="preserve"> 5, no. 2 (2021). https://bhl-jurnal.or.id/index.php/bhl/article/view/148.</w:t>
      </w:r>
    </w:p>
    <w:p w14:paraId="0181869A"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Tilton, John E., Phillip C.F. Crowson, John H. DeYoung, Roderick G. Eggert, Magnus Ericsson, Juan Ignacio Guzmán, David Humphreys, et al. “Public Policy and Future Mineral Supplies.” </w:t>
      </w:r>
      <w:r w:rsidRPr="009A7316">
        <w:rPr>
          <w:rFonts w:ascii="Cambria" w:hAnsi="Cambria" w:cs="Times New Roman"/>
          <w:i/>
          <w:iCs/>
          <w:noProof/>
          <w:sz w:val="24"/>
        </w:rPr>
        <w:t>Resources Policy</w:t>
      </w:r>
      <w:r w:rsidRPr="009A7316">
        <w:rPr>
          <w:rFonts w:ascii="Cambria" w:hAnsi="Cambria" w:cs="Times New Roman"/>
          <w:noProof/>
          <w:sz w:val="24"/>
        </w:rPr>
        <w:t xml:space="preserve"> 57 (August 2018): 55–60. https://doi.org/10.1016/j.resourpol.2018.01.006.</w:t>
      </w:r>
    </w:p>
    <w:p w14:paraId="61156310"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cs="Times New Roman"/>
          <w:noProof/>
          <w:sz w:val="24"/>
        </w:rPr>
      </w:pPr>
      <w:r w:rsidRPr="009A7316">
        <w:rPr>
          <w:rFonts w:ascii="Cambria" w:hAnsi="Cambria" w:cs="Times New Roman"/>
          <w:noProof/>
          <w:sz w:val="24"/>
        </w:rPr>
        <w:t xml:space="preserve">Trialfhianty, Tyas Ismi, Claire Helen Quinn, and Maria Beger. “Engaging Customary Law to Improve the Effectiveness of Marine Protected Areas in Indonesia.” </w:t>
      </w:r>
      <w:r w:rsidRPr="009A7316">
        <w:rPr>
          <w:rFonts w:ascii="Cambria" w:hAnsi="Cambria" w:cs="Times New Roman"/>
          <w:i/>
          <w:iCs/>
          <w:noProof/>
          <w:sz w:val="24"/>
        </w:rPr>
        <w:t>Ocean &amp; Coastal Management</w:t>
      </w:r>
      <w:r w:rsidRPr="009A7316">
        <w:rPr>
          <w:rFonts w:ascii="Cambria" w:hAnsi="Cambria" w:cs="Times New Roman"/>
          <w:noProof/>
          <w:sz w:val="24"/>
        </w:rPr>
        <w:t xml:space="preserve"> 261 (February 2025): 107543. https://doi.org/10.1016/j.ocecoaman.2025.107543.</w:t>
      </w:r>
    </w:p>
    <w:p w14:paraId="0C864198" w14:textId="77777777" w:rsidR="009A7316" w:rsidRPr="009A7316" w:rsidRDefault="009A7316" w:rsidP="009A7316">
      <w:pPr>
        <w:widowControl w:val="0"/>
        <w:autoSpaceDE w:val="0"/>
        <w:autoSpaceDN w:val="0"/>
        <w:adjustRightInd w:val="0"/>
        <w:spacing w:line="240" w:lineRule="auto"/>
        <w:ind w:left="480" w:hanging="480"/>
        <w:jc w:val="both"/>
        <w:rPr>
          <w:rFonts w:ascii="Cambria" w:hAnsi="Cambria"/>
          <w:noProof/>
          <w:sz w:val="24"/>
        </w:rPr>
      </w:pPr>
      <w:r w:rsidRPr="009A7316">
        <w:rPr>
          <w:rFonts w:ascii="Cambria" w:hAnsi="Cambria" w:cs="Times New Roman"/>
          <w:noProof/>
          <w:sz w:val="24"/>
        </w:rPr>
        <w:t xml:space="preserve">Xu, Tuoyuan, Xiaoxiao Zhang, Arun Agrawal, and Jinlong Liu. “Decentralizing While Centralizing: An Explanation of China’s Collective Forestry Reform since the 1980s.” </w:t>
      </w:r>
      <w:r w:rsidRPr="009A7316">
        <w:rPr>
          <w:rFonts w:ascii="Cambria" w:hAnsi="Cambria" w:cs="Times New Roman"/>
          <w:i/>
          <w:iCs/>
          <w:noProof/>
          <w:sz w:val="24"/>
        </w:rPr>
        <w:t>Forest Policy and Economics</w:t>
      </w:r>
      <w:r w:rsidRPr="009A7316">
        <w:rPr>
          <w:rFonts w:ascii="Cambria" w:hAnsi="Cambria" w:cs="Times New Roman"/>
          <w:noProof/>
          <w:sz w:val="24"/>
        </w:rPr>
        <w:t xml:space="preserve"> 119 (October 2020): 102268. https://doi.org/10.1016/j.forpol.2020.102268.</w:t>
      </w:r>
    </w:p>
    <w:p w14:paraId="3FF68E73" w14:textId="18BECBBD" w:rsidR="004B53AC" w:rsidRPr="00745360" w:rsidRDefault="009A7316" w:rsidP="009A7316">
      <w:pPr>
        <w:spacing w:line="240" w:lineRule="auto"/>
        <w:jc w:val="both"/>
        <w:rPr>
          <w:rFonts w:asciiTheme="majorHAnsi" w:hAnsiTheme="majorHAnsi"/>
          <w:b/>
          <w:color w:val="000000" w:themeColor="text1"/>
          <w:sz w:val="24"/>
          <w:szCs w:val="24"/>
        </w:rPr>
      </w:pPr>
      <w:r>
        <w:rPr>
          <w:rFonts w:asciiTheme="majorHAnsi" w:hAnsiTheme="majorHAnsi"/>
          <w:b/>
          <w:color w:val="000000" w:themeColor="text1"/>
          <w:sz w:val="24"/>
          <w:szCs w:val="24"/>
        </w:rPr>
        <w:fldChar w:fldCharType="end"/>
      </w:r>
    </w:p>
    <w:p w14:paraId="3EDF9F5E" w14:textId="588CECBE" w:rsidR="002413FA" w:rsidRPr="00745360" w:rsidRDefault="002413FA" w:rsidP="009A7316">
      <w:pPr>
        <w:pStyle w:val="ListParagraph"/>
        <w:spacing w:line="240" w:lineRule="auto"/>
        <w:ind w:hanging="720"/>
        <w:jc w:val="both"/>
        <w:rPr>
          <w:rFonts w:asciiTheme="majorHAnsi" w:hAnsiTheme="majorHAnsi" w:cs="Times New Roman"/>
          <w:noProof/>
          <w:color w:val="000000" w:themeColor="text1"/>
          <w:sz w:val="24"/>
          <w:szCs w:val="24"/>
        </w:rPr>
      </w:pPr>
    </w:p>
    <w:sectPr w:rsidR="002413FA" w:rsidRPr="00745360" w:rsidSect="00B72609">
      <w:footerReference w:type="default" r:id="rId8"/>
      <w:pgSz w:w="11907" w:h="16839" w:code="9"/>
      <w:pgMar w:top="2268" w:right="1701" w:bottom="2268" w:left="1701" w:header="720" w:footer="1145" w:gutter="0"/>
      <w:pgNumType w:start="13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95FB0" w14:textId="77777777" w:rsidR="00807399" w:rsidRDefault="00807399" w:rsidP="008564F6">
      <w:pPr>
        <w:spacing w:after="0" w:line="240" w:lineRule="auto"/>
      </w:pPr>
      <w:r>
        <w:separator/>
      </w:r>
    </w:p>
  </w:endnote>
  <w:endnote w:type="continuationSeparator" w:id="0">
    <w:p w14:paraId="3ACEADD3" w14:textId="77777777" w:rsidR="00807399" w:rsidRDefault="00807399" w:rsidP="00856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rPr>
      <w:id w:val="-68878002"/>
      <w:docPartObj>
        <w:docPartGallery w:val="Page Numbers (Bottom of Page)"/>
        <w:docPartUnique/>
      </w:docPartObj>
    </w:sdtPr>
    <w:sdtEndPr>
      <w:rPr>
        <w:noProof/>
      </w:rPr>
    </w:sdtEndPr>
    <w:sdtContent>
      <w:p w14:paraId="68399B0D" w14:textId="77777777" w:rsidR="00990784" w:rsidRPr="00BD13F0" w:rsidRDefault="00990784">
        <w:pPr>
          <w:pStyle w:val="Footer"/>
          <w:jc w:val="right"/>
          <w:rPr>
            <w:rFonts w:asciiTheme="majorHAnsi" w:hAnsiTheme="majorHAnsi"/>
          </w:rPr>
        </w:pP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5528"/>
        </w:tblGrid>
        <w:tr w:rsidR="00990784" w:rsidRPr="00BD13F0" w14:paraId="25C056F4" w14:textId="77777777" w:rsidTr="00A05FF0">
          <w:tc>
            <w:tcPr>
              <w:tcW w:w="3085" w:type="dxa"/>
            </w:tcPr>
            <w:p w14:paraId="04FE3857" w14:textId="77777777" w:rsidR="00990784" w:rsidRPr="00BD13F0" w:rsidRDefault="00280707" w:rsidP="00990784">
              <w:pPr>
                <w:pStyle w:val="Footer"/>
                <w:rPr>
                  <w:rFonts w:asciiTheme="majorHAnsi" w:hAnsiTheme="majorHAnsi"/>
                </w:rPr>
              </w:pPr>
              <w:proofErr w:type="gramStart"/>
              <w:r>
                <w:rPr>
                  <w:rFonts w:asciiTheme="majorHAnsi" w:hAnsiTheme="majorHAnsi"/>
                  <w:color w:val="000000"/>
                </w:rPr>
                <w:t>TLR :</w:t>
              </w:r>
              <w:proofErr w:type="gramEnd"/>
              <w:r>
                <w:rPr>
                  <w:rFonts w:asciiTheme="majorHAnsi" w:hAnsiTheme="majorHAnsi"/>
                  <w:color w:val="000000"/>
                </w:rPr>
                <w:t xml:space="preserve"> 2023 Vol 5 (2</w:t>
              </w:r>
              <w:r w:rsidR="00990784" w:rsidRPr="00BD13F0">
                <w:rPr>
                  <w:rFonts w:asciiTheme="majorHAnsi" w:hAnsiTheme="majorHAnsi"/>
                  <w:color w:val="000000"/>
                </w:rPr>
                <w:t>)</w:t>
              </w:r>
            </w:p>
          </w:tc>
          <w:tc>
            <w:tcPr>
              <w:tcW w:w="5528" w:type="dxa"/>
            </w:tcPr>
            <w:p w14:paraId="27C40353" w14:textId="77777777" w:rsidR="00990784" w:rsidRPr="00670C12" w:rsidRDefault="00670C12" w:rsidP="00C605C0">
              <w:pPr>
                <w:pStyle w:val="Footer"/>
                <w:tabs>
                  <w:tab w:val="clear" w:pos="4680"/>
                </w:tabs>
                <w:jc w:val="right"/>
                <w:rPr>
                  <w:rFonts w:asciiTheme="majorHAnsi" w:hAnsiTheme="majorHAnsi"/>
                </w:rPr>
              </w:pPr>
              <w:r w:rsidRPr="00670C12">
                <w:rPr>
                  <w:rFonts w:asciiTheme="majorHAnsi" w:eastAsia="Book Antiqua" w:hAnsiTheme="majorHAnsi" w:cs="Book Antiqua"/>
                  <w:sz w:val="20"/>
                  <w:szCs w:val="20"/>
                </w:rPr>
                <w:t>full name of first author, et al</w:t>
              </w:r>
              <w:r w:rsidRPr="00670C12">
                <w:rPr>
                  <w:rFonts w:asciiTheme="majorHAnsi" w:eastAsia="Book Antiqua" w:hAnsiTheme="majorHAnsi" w:cs="Book Antiqua"/>
                  <w:i/>
                  <w:sz w:val="16"/>
                  <w:szCs w:val="16"/>
                </w:rPr>
                <w:t>.</w:t>
              </w:r>
            </w:p>
          </w:tc>
        </w:tr>
      </w:tbl>
      <w:p w14:paraId="5ED49346" w14:textId="77777777" w:rsidR="00990784" w:rsidRPr="00BD13F0" w:rsidRDefault="00990784">
        <w:pPr>
          <w:pStyle w:val="Footer"/>
          <w:jc w:val="right"/>
          <w:rPr>
            <w:rFonts w:asciiTheme="majorHAnsi" w:hAnsiTheme="majorHAnsi"/>
          </w:rPr>
        </w:pPr>
        <w:r w:rsidRPr="00BD13F0">
          <w:rPr>
            <w:rFonts w:asciiTheme="majorHAnsi" w:hAnsiTheme="majorHAnsi"/>
          </w:rPr>
          <w:fldChar w:fldCharType="begin"/>
        </w:r>
        <w:r w:rsidRPr="00BD13F0">
          <w:rPr>
            <w:rFonts w:asciiTheme="majorHAnsi" w:hAnsiTheme="majorHAnsi"/>
          </w:rPr>
          <w:instrText xml:space="preserve"> PAGE   \* MERGEFORMAT </w:instrText>
        </w:r>
        <w:r w:rsidRPr="00BD13F0">
          <w:rPr>
            <w:rFonts w:asciiTheme="majorHAnsi" w:hAnsiTheme="majorHAnsi"/>
          </w:rPr>
          <w:fldChar w:fldCharType="separate"/>
        </w:r>
        <w:r w:rsidR="00670C12">
          <w:rPr>
            <w:rFonts w:asciiTheme="majorHAnsi" w:hAnsiTheme="majorHAnsi"/>
            <w:noProof/>
          </w:rPr>
          <w:t>135</w:t>
        </w:r>
        <w:r w:rsidRPr="00BD13F0">
          <w:rPr>
            <w:rFonts w:asciiTheme="majorHAnsi" w:hAnsiTheme="majorHAnsi"/>
            <w:noProof/>
          </w:rPr>
          <w:fldChar w:fldCharType="end"/>
        </w:r>
      </w:p>
    </w:sdtContent>
  </w:sdt>
  <w:p w14:paraId="1C22CCF5" w14:textId="77777777" w:rsidR="00990784" w:rsidRPr="00BD13F0" w:rsidRDefault="00990784">
    <w:pPr>
      <w:pStyle w:val="Footer"/>
      <w:rPr>
        <w:rFonts w:asciiTheme="majorHAnsi" w:hAnsi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05175" w14:textId="77777777" w:rsidR="00807399" w:rsidRDefault="00807399" w:rsidP="008564F6">
      <w:pPr>
        <w:spacing w:after="0" w:line="240" w:lineRule="auto"/>
      </w:pPr>
      <w:r>
        <w:separator/>
      </w:r>
    </w:p>
  </w:footnote>
  <w:footnote w:type="continuationSeparator" w:id="0">
    <w:p w14:paraId="5180F75F" w14:textId="77777777" w:rsidR="00807399" w:rsidRDefault="00807399" w:rsidP="008564F6">
      <w:pPr>
        <w:spacing w:after="0" w:line="240" w:lineRule="auto"/>
      </w:pPr>
      <w:r>
        <w:continuationSeparator/>
      </w:r>
    </w:p>
  </w:footnote>
  <w:footnote w:id="1">
    <w:p w14:paraId="74C36440" w14:textId="015CD8A3" w:rsidR="00055074" w:rsidRPr="00745360" w:rsidRDefault="00055074"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7E6EDD" w:rsidRPr="00745360">
        <w:rPr>
          <w:rFonts w:asciiTheme="majorHAnsi" w:hAnsiTheme="majorHAnsi"/>
        </w:rPr>
        <w:instrText>ADDIN CSL_CITATION {"citationItems":[{"id":"ITEM-1","itemData":{"DOI":"10.31078/jk1622","ISSN":"2548-1657","abstract":"Pasca amandemen UUD Negara Republik Indonesia 1945 Pasal 33 ayat (3) yang berbunyi “Bumi, air dan kekayaan yang terkandung di dalamnya dikuasai oleh negara dan dipergunakan sebesar-besarnya bagi kemakmuran rakyat” penguasaan negara yang ada dalam Pasal 33 ayat (3) tersebut hanya mengatur pada bumi, air dan yang terkandung di dalamnya. Padahal saat ini keberadaan ruang angkasa berhubungan erat dengan hajat hidup orang banyak, salah satunya pemanfaatan GSO (geo stationary orbit) yang merupakan sumber daya alam terbatas. Sehingga hal tersebut menimbulkan masalah baru khususnya bagi Indonesia sebagai negara khatulistiwa yang mana penempatan GSO berada di atasnya. Masalah tersebut adalah bagaimana internalisasi terkait konsep penguasaan negara menurut Pasal 33 ayat (3) UUD NRI 1945 terhadap pemanfaatan sumber daya alam yang ada dalam wilayah ruang angkasa, serta bagaimana regulasi-regulasi yang mengatur terkait pemanfaatan sumber daya alam di wilayah ruang angkasa apakah sudah sesuai dipergunakan sebesar-besarnya bagi kemakmuran rakyat. Dalam penelitian ini digunakan metode penelitian analisis kualitatif. Hasil dari penelitian ini memberikan gambaran bahwa keberadaan ruang angkasa memiliki peranan penting bagi setiap negara, khususnya keberadaan GSO sebagai sumber daya alam terbatas, keberadan GSO hanya ada di atas khatulistiwa dan Indonesia salah satu negara yang dilalui garis khatulistiwa. Beragam konvensi internasional yang telah disahkan ke dalam peraturan di Indonesia maupun regulasi yang ada di Indonesia berkenaan dengan pemanfaatan ruang angkasa sampai saat ini belum memberikan manfaat dan pengaturan yang komprehensif terkait memanfaatkan sumber daya alam yang terkandung dalam wilayah ruang angkasa tersebut, sehingga menjadi suatu keharusan bagi Indonesia sebagai negara yang berdaulat untuk memberikan jaminan secara konstitusional bagi keberadaan sumber daya alam yang ada dalam wilayah ruang angkasa untuk dipergunakan sebesar-besarnya bagi kemakmuran rakyat.After the amendment to the 1945 Constitution of the Republic of Indonesia Article 33 paragraph (3) that stated \"The land, the water and the natural resources within shall be under the powers of the State and shall be used to the greatest benefit of the people\" the state authorities in Article 33 paragraph (3) only regulates earth, water and and the natural resources within. Whereas today, the existence of the outer space is closely associated with the lives of many people, as such, the utilization …","author":[{"dropping-particle":"","family":"Farhani","given":"Athari","non-dropping-particle":"","parse-names":false,"suffix":""},{"dropping-particle":"","family":"Chandranegara","given":"Ibnu Sina","non-dropping-particle":"","parse-names":false,"suffix":""}],"container-title":"Jurnal Konstitusi","id":"ITEM-1","issue":"2","issued":{"date-parts":[["2019","7","11"]]},"page":"235","title":"Penguasaan Negara terhadap Pemanfaatan Sumber Daya Alam Ruang Angkasa Menurut Undang-Undang Dasar Negara Republik Indonesia Tahun 1945","type":"article-journal","volume":"16"},"uris":["http://www.mendeley.com/documents/?uuid=725243fd-82cc-4cd6-9ed1-a91a415b790a"]}],"mendeley":{"formattedCitation":"Athari Farhani and Ibnu Sina Chandranegara, “Penguasaan Negara Terhadap Pemanfaatan Sumber Daya Alam Ruang Angkasa Menurut Undang-Undang Dasar Negara Republik Indonesia Tahun 1945,” &lt;i&gt;Jurnal Konstitusi&lt;/i&gt; 16, no. 2 (July 11, 2019): 235, https://doi.org/10.31078/jk1622.","plainTextFormattedCitation":"Athari Farhani and Ibnu Sina Chandranegara, “Penguasaan Negara Terhadap Pemanfaatan Sumber Daya Alam Ruang Angkasa Menurut Undang-Undang Dasar Negara Republik Indonesia Tahun 1945,” Jurnal Konstitusi 16, no. 2 (July 11, 2019): 235, https://doi.org/10.31078/jk1622.","previouslyFormattedCitation":"Athari Farhani and Ibnu Sina Chandranegara, “Penguasaan Negara Terhadap Pemanfaatan Sumber Daya Alam Ruang Angkasa Menurut Undang-Undang Dasar Negara Republik Indonesia Tahun 1945,” &lt;i&gt;Jurnal Konstitusi&lt;/i&gt; 16, no. 2 (July 11, 2019): 235, https://doi.org/10.31078/jk1622."},"properties":{"noteIndex":1},"schema":"https://github.com/citation-style-language/schema/raw/master/csl-citation.json"}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Athari Farhani and Ibnu Sina Chandranegara, “Penguasaan Negara Terhadap Pemanfaatan Sumber Daya Alam Ruang Angkasa Menurut Undang-Undang Dasar Negara Republik Indonesia Tahun 1945,” </w:t>
      </w:r>
      <w:r w:rsidRPr="00745360">
        <w:rPr>
          <w:rFonts w:asciiTheme="majorHAnsi" w:hAnsiTheme="majorHAnsi"/>
          <w:i/>
          <w:noProof/>
        </w:rPr>
        <w:t>Jurnal Konstitusi</w:t>
      </w:r>
      <w:r w:rsidRPr="00745360">
        <w:rPr>
          <w:rFonts w:asciiTheme="majorHAnsi" w:hAnsiTheme="majorHAnsi"/>
          <w:noProof/>
        </w:rPr>
        <w:t xml:space="preserve"> 16, no. 2 (July 11, 2019): 235, https://doi.org/10.31078/jk1622.</w:t>
      </w:r>
      <w:r w:rsidRPr="00745360">
        <w:rPr>
          <w:rFonts w:asciiTheme="majorHAnsi" w:hAnsiTheme="majorHAnsi"/>
        </w:rPr>
        <w:fldChar w:fldCharType="end"/>
      </w:r>
    </w:p>
  </w:footnote>
  <w:footnote w:id="2">
    <w:p w14:paraId="267C5948" w14:textId="084D2AA5" w:rsidR="007E6EDD" w:rsidRPr="00745360" w:rsidRDefault="007E6EDD"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0009A0" w:rsidRPr="00745360">
        <w:rPr>
          <w:rFonts w:asciiTheme="majorHAnsi" w:hAnsiTheme="majorHAnsi"/>
        </w:rPr>
        <w:instrText>ADDIN CSL_CITATION {"citationItems":[{"id":"ITEM-1","itemData":{"author":[{"dropping-particle":"","family":"Pahlefi","given":"","non-dropping-particle":"","parse-names":false,"suffix":""},{"dropping-particle":"","family":"Eko Nuriyatman","given":"","non-dropping-particle":"","parse-names":false,"suffix":""},{"dropping-particle":"","family":"Lili Naili Hidayah","given":"","non-dropping-particle":"","parse-names":false,"suffix":""}],"id":"ITEM-1","issued":{"date-parts":[["2023"]]},"publisher":"Damera Press","publisher-place":"Jakarta Selatan","title":"Sumber Daya Alam Dalam Perspektif Hukum Adat","type":"book"},"uris":["http://www.mendeley.com/documents/?uuid=20cd78c1-bc85-340a-ab46-f1bd59148f78"]}],"mendeley":{"formattedCitation":"Pahlefi, Eko Nuriyatman, and Lili Naili Hidayah, &lt;i&gt;Sumber Daya Alam Dalam Perspektif Hukum Adat&lt;/i&gt; (Jakarta Selatan: Damera Press, 2023).","plainTextFormattedCitation":"Pahlefi, Eko Nuriyatman, and Lili Naili Hidayah, Sumber Daya Alam Dalam Perspektif Hukum Adat (Jakarta Selatan: Damera Press, 2023).","previouslyFormattedCitation":"Pahlefi, Eko Nuriyatman, and Lili Naili Hidayah, &lt;i&gt;Sumber Daya Alam Dalam Perspektif Hukum Adat&lt;/i&gt; (Jakarta Selatan: Damera Press, 2023)."},"properties":{"noteIndex":2},"schema":"https://github.com/citation-style-language/schema/raw/master/csl-citation.json"}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Pahlefi, Eko Nuriyatman, and Lili Naili Hidayah, </w:t>
      </w:r>
      <w:r w:rsidRPr="00745360">
        <w:rPr>
          <w:rFonts w:asciiTheme="majorHAnsi" w:hAnsiTheme="majorHAnsi"/>
          <w:i/>
          <w:noProof/>
        </w:rPr>
        <w:t>Sumber Daya Alam Dalam Perspektif Hukum Adat</w:t>
      </w:r>
      <w:r w:rsidRPr="00745360">
        <w:rPr>
          <w:rFonts w:asciiTheme="majorHAnsi" w:hAnsiTheme="majorHAnsi"/>
          <w:noProof/>
        </w:rPr>
        <w:t xml:space="preserve"> (Jakarta Selatan: Damera Press, 2023).</w:t>
      </w:r>
      <w:r w:rsidRPr="00745360">
        <w:rPr>
          <w:rFonts w:asciiTheme="majorHAnsi" w:hAnsiTheme="majorHAnsi"/>
        </w:rPr>
        <w:fldChar w:fldCharType="end"/>
      </w:r>
    </w:p>
  </w:footnote>
  <w:footnote w:id="3">
    <w:p w14:paraId="12389883" w14:textId="2138E70D" w:rsidR="000009A0" w:rsidRPr="00745360" w:rsidRDefault="000009A0"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FE338A" w:rsidRPr="00745360">
        <w:rPr>
          <w:rFonts w:asciiTheme="majorHAnsi" w:hAnsiTheme="majorHAnsi"/>
        </w:rPr>
        <w:instrText>ADDIN CSL_CITATION {"citationItems":[{"id":"ITEM-1","itemData":{"DOI":"10.31078/jk1622","ISSN":"2548-1657","abstract":"Pasca amandemen UUD Negara Republik Indonesia 1945 Pasal 33 ayat (3) yang berbunyi “Bumi, air dan kekayaan yang terkandung di dalamnya dikuasai oleh negara dan dipergunakan sebesar-besarnya bagi kemakmuran rakyat” penguasaan negara yang ada dalam Pasal 33 ayat (3) tersebut hanya mengatur pada bumi, air dan yang terkandung di dalamnya. Padahal saat ini keberadaan ruang angkasa berhubungan erat dengan hajat hidup orang banyak, salah satunya pemanfaatan GSO (geo stationary orbit) yang merupakan sumber daya alam terbatas. Sehingga hal tersebut menimbulkan masalah baru khususnya bagi Indonesia sebagai negara khatulistiwa yang mana penempatan GSO berada di atasnya. Masalah tersebut adalah bagaimana internalisasi terkait konsep penguasaan negara menurut Pasal 33 ayat (3) UUD NRI 1945 terhadap pemanfaatan sumber daya alam yang ada dalam wilayah ruang angkasa, serta bagaimana regulasi-regulasi yang mengatur terkait pemanfaatan sumber daya alam di wilayah ruang angkasa apakah sudah sesuai dipergunakan sebesar-besarnya bagi kemakmuran rakyat. Dalam penelitian ini digunakan metode penelitian analisis kualitatif. Hasil dari penelitian ini memberikan gambaran bahwa keberadaan ruang angkasa memiliki peranan penting bagi setiap negara, khususnya keberadaan GSO sebagai sumber daya alam terbatas, keberadan GSO hanya ada di atas khatulistiwa dan Indonesia salah satu negara yang dilalui garis khatulistiwa. Beragam konvensi internasional yang telah disahkan ke dalam peraturan di Indonesia maupun regulasi yang ada di Indonesia berkenaan dengan pemanfaatan ruang angkasa sampai saat ini belum memberikan manfaat dan pengaturan yang komprehensif terkait memanfaatkan sumber daya alam yang terkandung dalam wilayah ruang angkasa tersebut, sehingga menjadi suatu keharusan bagi Indonesia sebagai negara yang berdaulat untuk memberikan jaminan secara konstitusional bagi keberadaan sumber daya alam yang ada dalam wilayah ruang angkasa untuk dipergunakan sebesar-besarnya bagi kemakmuran rakyat.After the amendment to the 1945 Constitution of the Republic of Indonesia Article 33 paragraph (3) that stated \"The land, the water and the natural resources within shall be under the powers of the State and shall be used to the greatest benefit of the people\" the state authorities in Article 33 paragraph (3) only regulates earth, water and and the natural resources within. Whereas today, the existence of the outer space is closely associated with the lives of many people, as such, the utilization …","author":[{"dropping-particle":"","family":"Farhani","given":"Athari","non-dropping-particle":"","parse-names":false,"suffix":""},{"dropping-particle":"","family":"Chandranegara","given":"Ibnu Sina","non-dropping-particle":"","parse-names":false,"suffix":""}],"container-title":"Jurnal Konstitusi","id":"ITEM-1","issue":"2","issued":{"date-parts":[["2019","7","11"]]},"page":"235","title":"Penguasaan Negara terhadap Pemanfaatan Sumber Daya Alam Ruang Angkasa Menurut Undang-Undang Dasar Negara Republik Indonesia Tahun 1945","type":"article-journal","volume":"16"},"uris":["http://www.mendeley.com/documents/?uuid=725243fd-82cc-4cd6-9ed1-a91a415b790a"]}],"mendeley":{"formattedCitation":"Farhani and Chandranegara, “Penguasaan Negara Terhadap Pemanfaatan Sumber Daya Alam Ruang Angkasa Menurut Undang-Undang Dasar Negara Republik Indonesia Tahun 1945.”","plainTextFormattedCitation":"Farhani and Chandranegara, “Penguasaan Negara Terhadap Pemanfaatan Sumber Daya Alam Ruang Angkasa Menurut Undang-Undang Dasar Negara Republik Indonesia Tahun 1945.”","previouslyFormattedCitation":"Farhani and Chandranegara, “Penguasaan Negara Terhadap Pemanfaatan Sumber Daya Alam Ruang Angkasa Menurut Undang-Undang Dasar Negara Republik Indonesia Tahun 1945.”"},"properties":{"noteIndex":3},"schema":"https://github.com/citation-style-language/schema/raw/master/csl-citation.json"}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Farhani and Chandranegara, “Penguasaan Negara Terhadap Pemanfaatan Sumber Daya Alam Ruang Angkasa Menurut Undang-Undang Dasar Negara Republik Indonesia Tahun 1945.”</w:t>
      </w:r>
      <w:r w:rsidRPr="00745360">
        <w:rPr>
          <w:rFonts w:asciiTheme="majorHAnsi" w:hAnsiTheme="majorHAnsi"/>
        </w:rPr>
        <w:fldChar w:fldCharType="end"/>
      </w:r>
    </w:p>
  </w:footnote>
  <w:footnote w:id="4">
    <w:p w14:paraId="2349DB38" w14:textId="6B5F38F8" w:rsidR="00FE338A" w:rsidRPr="00745360" w:rsidRDefault="00FE338A"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444C27" w:rsidRPr="00745360">
        <w:rPr>
          <w:rFonts w:asciiTheme="majorHAnsi" w:hAnsiTheme="majorHAnsi"/>
        </w:rPr>
        <w:instrText>ADDIN CSL_CITATION {"citationItems":[{"id":"ITEM-1","itemData":{"DOI":"10.1016/j.ocecoaman.2025.107543","ISSN":"09645691","author":[{"dropping-particle":"","family":"Trialfhianty","given":"Tyas Ismi","non-dropping-particle":"","parse-names":false,"suffix":""},{"dropping-particle":"","family":"Quinn","given":"Claire Helen","non-dropping-particle":"","parse-names":false,"suffix":""},{"dropping-particle":"","family":"Beger","given":"Maria","non-dropping-particle":"","parse-names":false,"suffix":""}],"container-title":"Ocean &amp; Coastal Management","id":"ITEM-1","issued":{"date-parts":[["2025","2"]]},"page":"107543","title":"Engaging customary law to improve the effectiveness of marine protected areas in Indonesia","type":"article-journal","volume":"261"},"uris":["http://www.mendeley.com/documents/?uuid=a5755b9e-3581-4d56-a98d-7b64dd9c33a2"]}],"mendeley":{"formattedCitation":"Tyas Ismi Trialfhianty, Claire Helen Quinn, and Maria Beger, “Engaging Customary Law to Improve the Effectiveness of Marine Protected Areas in Indonesia,” &lt;i&gt;Ocean &amp; Coastal Management&lt;/i&gt; 261 (February 2025): 107543, https://doi.org/10.1016/j.ocecoaman.2025.107543.","plainTextFormattedCitation":"Tyas Ismi Trialfhianty, Claire Helen Quinn, and Maria Beger, “Engaging Customary Law to Improve the Effectiveness of Marine Protected Areas in Indonesia,” Ocean &amp; Coastal Management 261 (February 2025): 107543, https://doi.org/10.1016/j.ocecoaman.2025.107543.","previouslyFormattedCitation":"Tyas Ismi Trialfhianty, Claire Helen Quinn, and Maria Beger, “Engaging Customary Law to Improve the Effectiveness of Marine Protected Areas in Indonesia,” &lt;i&gt;Ocean &amp; Coastal Management&lt;/i&gt; 261 (February 2025): 107543, https://doi.org/10.1016/j.ocecoaman.2025.107543."},"properties":{"noteIndex":4},"schema":"https://github.com/citation-style-language/schema/raw/master/csl-citation.json"}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Tyas Ismi Trialfhianty, Claire Helen Quinn, and Maria Beger, “Engaging Customary Law to Improve the Effectiveness of Marine Protected Areas in Indonesia,” </w:t>
      </w:r>
      <w:r w:rsidRPr="00745360">
        <w:rPr>
          <w:rFonts w:asciiTheme="majorHAnsi" w:hAnsiTheme="majorHAnsi"/>
          <w:i/>
          <w:noProof/>
        </w:rPr>
        <w:t>Ocean &amp; Coastal Management</w:t>
      </w:r>
      <w:r w:rsidRPr="00745360">
        <w:rPr>
          <w:rFonts w:asciiTheme="majorHAnsi" w:hAnsiTheme="majorHAnsi"/>
          <w:noProof/>
        </w:rPr>
        <w:t xml:space="preserve"> 261 (February 2025): 107543, https://doi.org/10.1016/j.ocecoaman.2025.107543.</w:t>
      </w:r>
      <w:r w:rsidRPr="00745360">
        <w:rPr>
          <w:rFonts w:asciiTheme="majorHAnsi" w:hAnsiTheme="majorHAnsi"/>
        </w:rPr>
        <w:fldChar w:fldCharType="end"/>
      </w:r>
    </w:p>
  </w:footnote>
  <w:footnote w:id="5">
    <w:p w14:paraId="01ACA9C5" w14:textId="418DA127" w:rsidR="00444C27" w:rsidRPr="00745360" w:rsidRDefault="00444C27"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103168" w:rsidRPr="00745360">
        <w:rPr>
          <w:rFonts w:asciiTheme="majorHAnsi" w:hAnsiTheme="majorHAnsi"/>
        </w:rPr>
        <w:instrText>ADDIN CSL_CITATION {"citationItems":[{"id":"ITEM-1","itemData":{"DOI":"10.15294/jllr.v6i1.11746","ISSN":"2715-0968","abstract":"Climate change has a significant impact on vulnerable communities; one of which is indigenous people. The dependence and closeness of indigenous people to the environment and natural resources have indicated that they must be the first to experience the negative impacts of climate change. This abstract focuses on the need of policy reform and strategies to deal with climate change in Indonesia through recognition of the environmental values amidst indigenous people. The current management of climate change in Indonesia shows that there are gaps and weaknesses in the participation of indigenous people for policy making and moves for climate change mitigation and adaptation. The article begins by explaining the guarantee of legal protection and identified the rights of people who are disturbed by the impacts of climate change, including examining whether existing climate change policies in Indonesia are in favor of indigenous people. Apart from that, the exportation of environmental values depicted by indigenous people in Indonesia is also a basis for proposing recognition about climate change handling policy strategies. To answer legal questions, legal and literature studies were chosen. The proposed recognition of environmental values would aim to protect and maintain the existence of indigenous people amidst the threat of climate change. Research findings would become suggestions to the government, starting with reforming problematic policies to taking further steps in recognition of prescribed environmental values. At the end, this article is strongly expected to contribute significantly to the midst of 'climate legislation' and the on-going formulation to generate strategies policy for handling climate change in Indonesia. For existing conditions, this article serves to be a consideration for the need of legal reform in handling climate change policy related to indigenous people.","author":[{"dropping-particle":"","family":"Rafiqi","given":"Ilham Dwi","non-dropping-particle":"","parse-names":false,"suffix":""}],"container-title":"Journal of Law and Legal Reform","id":"ITEM-1","issue":"1","issued":{"date-parts":[["2025","3","13"]]},"page":"1-40","title":"Recognition of Indigenous Peoples Values in Indonesia for Policy Addressing Climate Change","type":"article-journal","volume":"6"},"uris":["http://www.mendeley.com/documents/?uuid=b48c0f7b-1f20-4c3a-854e-9a681a158e3b"]}],"mendeley":{"formattedCitation":"Ilham Dwi Rafiqi, “Recognition of Indigenous Peoples Values in Indonesia for Policy Addressing Climate Change,” &lt;i&gt;Journal of Law and Legal Reform&lt;/i&gt; 6, no. 1 (March 13, 2025): 1–40, https://doi.org/10.15294/jllr.v6i1.11746.","plainTextFormattedCitation":"Ilham Dwi Rafiqi, “Recognition of Indigenous Peoples Values in Indonesia for Policy Addressing Climate Change,” Journal of Law and Legal Reform 6, no. 1 (March 13, 2025): 1–40, https://doi.org/10.15294/jllr.v6i1.11746.","previouslyFormattedCitation":"Ilham Dwi Rafiqi, “Recognition of Indigenous Peoples Values in Indonesia for Policy Addressing Climate Change,” &lt;i&gt;Journal of Law and Legal Reform&lt;/i&gt; 6, no. 1 (March 13, 2025): 1–40, https://doi.org/10.15294/jllr.v6i1.11746."},"properties":{"noteIndex":5},"schema":"https://github.com/citation-style-language/schema/raw/master/csl-citation.json"}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Ilham Dwi Rafiqi, “Recognition of Indigenous Peoples Values in Indonesia for Policy Addressing Climate Change,” </w:t>
      </w:r>
      <w:r w:rsidRPr="00745360">
        <w:rPr>
          <w:rFonts w:asciiTheme="majorHAnsi" w:hAnsiTheme="majorHAnsi"/>
          <w:i/>
          <w:noProof/>
        </w:rPr>
        <w:t>Journal of Law and Legal Reform</w:t>
      </w:r>
      <w:r w:rsidRPr="00745360">
        <w:rPr>
          <w:rFonts w:asciiTheme="majorHAnsi" w:hAnsiTheme="majorHAnsi"/>
          <w:noProof/>
        </w:rPr>
        <w:t xml:space="preserve"> 6, no. 1 (March 13, 2025): 1–40, https://doi.org/10.15294/jllr.v6i1.11746.</w:t>
      </w:r>
      <w:r w:rsidRPr="00745360">
        <w:rPr>
          <w:rFonts w:asciiTheme="majorHAnsi" w:hAnsiTheme="majorHAnsi"/>
        </w:rPr>
        <w:fldChar w:fldCharType="end"/>
      </w:r>
    </w:p>
  </w:footnote>
  <w:footnote w:id="6">
    <w:p w14:paraId="078FBE38" w14:textId="71BF9A97" w:rsidR="00103168" w:rsidRPr="00745360" w:rsidRDefault="00103168"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704B22" w:rsidRPr="00745360">
        <w:rPr>
          <w:rFonts w:asciiTheme="majorHAnsi" w:hAnsiTheme="majorHAnsi"/>
        </w:rPr>
        <w:instrText>ADDIN CSL_CITATION {"citationItems":[{"id":"ITEM-1","itemData":{"DOI":"10.1016/j.oneear.2024.05.001","ISSN":"25903322","author":[{"dropping-particle":"","family":"Dawson","given":"Neil M.","non-dropping-particle":"","parse-names":false,"suffix":""},{"dropping-particle":"","family":"Coolsaet","given":"Brendan","non-dropping-particle":"","parse-names":false,"suffix":""},{"dropping-particle":"","family":"Bhardwaj","given":"Aditi","non-dropping-particle":"","parse-names":false,"suffix":""},{"dropping-particle":"","family":"Booker","given":"Francesca","non-dropping-particle":"","parse-names":false,"suffix":""},{"dropping-particle":"","family":"Brown","given":"David","non-dropping-particle":"","parse-names":false,"suffix":""},{"dropping-particle":"","family":"Lliso","given":"Bosco","non-dropping-particle":"","parse-names":false,"suffix":""},{"dropping-particle":"","family":"Loos","given":"Jacqueline","non-dropping-particle":"","parse-names":false,"suffix":""},{"dropping-particle":"","family":"Martin","given":"Adrian","non-dropping-particle":"","parse-names":false,"suffix":""},{"dropping-particle":"","family":"Oliva","given":"Malena","non-dropping-particle":"","parse-names":false,"suffix":""},{"dropping-particle":"","family":"Pascual","given":"Unai","non-dropping-particle":"","parse-names":false,"suffix":""},{"dropping-particle":"","family":"Sherpa","given":"Pasang","non-dropping-particle":"","parse-names":false,"suffix":""},{"dropping-particle":"","family":"Worsdell","given":"Thomas","non-dropping-particle":"","parse-names":false,"suffix":""}],"container-title":"One Earth","id":"ITEM-1","issue":"6","issued":{"date-parts":[["2024","6"]]},"page":"1007-1021","title":"Is it just conservation? A typology of Indigenous peoples’ and local communities’ roles in conserving biodiversity","type":"article-journal","volume":"7"},"uris":["http://www.mendeley.com/documents/?uuid=179e4c58-b916-4e09-b8b1-6109711357b8"]}],"mendeley":{"formattedCitation":"Neil M. Dawson et al., “Is It Just Conservation? A Typology of Indigenous Peoples’ and Local Communities’ Roles in Conserving Biodiversity,” &lt;i&gt;One Earth&lt;/i&gt; 7, no. 6 (June 2024): 1007–21, https://doi.org/10.1016/j.oneear.2024.05.001.","plainTextFormattedCitation":"Neil M. Dawson et al., “Is It Just Conservation? A Typology of Indigenous Peoples’ and Local Communities’ Roles in Conserving Biodiversity,” One Earth 7, no. 6 (June 2024): 1007–21, https://doi.org/10.1016/j.oneear.2024.05.001.","previouslyFormattedCitation":"Neil M. Dawson et al., “Is It Just Conservation? A Typology of Indigenous Peoples’ and Local Communities’ Roles in Conserving Biodiversity,” &lt;i&gt;One Earth&lt;/i&gt; 7, no. 6 (June 2024): 1007–21, https://doi.org/10.1016/j.oneear.2024.05.001."},"properties":{"noteIndex":6},"schema":"https://github.com/citation-style-language/schema/raw/master/csl-citation.json"}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Neil M. Dawson et al., “Is It Just Conservation? A Typology of Indigenous Peoples’ and Local Communities’ Roles in Conserving Biodiversity,” </w:t>
      </w:r>
      <w:r w:rsidRPr="00745360">
        <w:rPr>
          <w:rFonts w:asciiTheme="majorHAnsi" w:hAnsiTheme="majorHAnsi"/>
          <w:i/>
          <w:noProof/>
        </w:rPr>
        <w:t>One Earth</w:t>
      </w:r>
      <w:r w:rsidRPr="00745360">
        <w:rPr>
          <w:rFonts w:asciiTheme="majorHAnsi" w:hAnsiTheme="majorHAnsi"/>
          <w:noProof/>
        </w:rPr>
        <w:t xml:space="preserve"> 7, no. 6 (June 2024): 1007–21, https://doi.org/10.1016/j.oneear.2024.05.001.</w:t>
      </w:r>
      <w:r w:rsidRPr="00745360">
        <w:rPr>
          <w:rFonts w:asciiTheme="majorHAnsi" w:hAnsiTheme="majorHAnsi"/>
        </w:rPr>
        <w:fldChar w:fldCharType="end"/>
      </w:r>
    </w:p>
  </w:footnote>
  <w:footnote w:id="7">
    <w:p w14:paraId="288C2977" w14:textId="68338A16" w:rsidR="00704B22" w:rsidRPr="00745360" w:rsidRDefault="00704B22"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D55875" w:rsidRPr="00745360">
        <w:rPr>
          <w:rFonts w:asciiTheme="majorHAnsi" w:hAnsiTheme="majorHAnsi"/>
        </w:rPr>
        <w:instrText>ADDIN CSL_CITATION {"citationItems":[{"id":"ITEM-1","itemData":{"DOI":"10.22437/jlj.6.2.143-184","ISSN":"2598-795X","abstract":"This study explores the critical question of whether the environment should be prioritized in situations of uncertainty, encapsulated by the Latin phrase “In Dubio Pro Natura” (In Doubt, For Nature). Focusing on the context of Indonesia, the discourse navigates the complex terrain of environmental justice. The study delves into the multifaceted challenges faced by Indonesia, considering economic development, social equity, and ecological sustainability. By examining cases of environmental degradation, resource exploitation, and their societal implications, the study aims to shed light on the ethical dimensions of decision-making in the face of environmental uncertainties. Drawing on diverse perspectives, including indigenous knowledge and international frameworks, the discourse advocates for a nuanced approach that balances economic growth with environmental stewardship and social justice. Ultimately, this study outlines the necessity of reevaluating priorities, fostering sustainable practices, and ensuring equitable environmental policies for the well-being of present and future generations in Indonesia.","author":[{"dropping-particle":"","family":"Arifin","given":"Ridwan","non-dropping-particle":"","parse-names":false,"suffix":""},{"dropping-particle":"","family":"Idris","given":"Siti Hafsyah","non-dropping-particle":"","parse-names":false,"suffix":""}],"container-title":"Jambe Law Journal","id":"ITEM-1","issue":"2","issued":{"date-parts":[["2023","12","4"]]},"page":"143-184","title":"In Dubio Pro Natura: in Doubt, should the Environment Be a Priority? A Discourse of Environmental Justice in Indonesia","type":"article-journal","volume":"6"},"uris":["http://www.mendeley.com/documents/?uuid=0dc0ac98-494a-4efa-841d-7f3c6e764ba5"]}],"mendeley":{"formattedCitation":"Ridwan Arifin and Siti Hafsyah Idris, “In Dubio Pro Natura: In Doubt, Should the Environment Be a Priority? A Discourse of Environmental Justice in Indonesia,” &lt;i&gt;Jambe Law Journal&lt;/i&gt; 6, no. 2 (December 4, 2023): 143–84, https://doi.org/10.22437/jlj.6.2.143-184.","plainTextFormattedCitation":"Ridwan Arifin and Siti Hafsyah Idris, “In Dubio Pro Natura: In Doubt, Should the Environment Be a Priority? A Discourse of Environmental Justice in Indonesia,” Jambe Law Journal 6, no. 2 (December 4, 2023): 143–84, https://doi.org/10.22437/jlj.6.2.143-184.","previouslyFormattedCitation":"Ridwan Arifin and Siti Hafsyah Idris, “In Dubio Pro Natura: In Doubt, Should the Environment Be a Priority? A Discourse of Environmental Justice in Indonesia,” &lt;i&gt;Jambe Law Journal&lt;/i&gt; 6, no. 2 (December 4, 2023): 143–84, https://doi.org/10.22437/jlj.6.2.143-184."},"properties":{"noteIndex":7},"schema":"https://github.com/citation-style-language/schema/raw/master/csl-citation.json"}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Ridwan Arifin and Siti Hafsyah Idris, “In Dubio Pro Natura: In Doubt, Should the Environment Be a Priority? A Discourse of Environmental Justice in Indonesia,” </w:t>
      </w:r>
      <w:r w:rsidRPr="00745360">
        <w:rPr>
          <w:rFonts w:asciiTheme="majorHAnsi" w:hAnsiTheme="majorHAnsi"/>
          <w:i/>
          <w:noProof/>
        </w:rPr>
        <w:t>Jambe Law Journal</w:t>
      </w:r>
      <w:r w:rsidRPr="00745360">
        <w:rPr>
          <w:rFonts w:asciiTheme="majorHAnsi" w:hAnsiTheme="majorHAnsi"/>
          <w:noProof/>
        </w:rPr>
        <w:t xml:space="preserve"> 6, no. 2 (December 4, 2023): 143–84, https://doi.org/10.22437/jlj.6.2.143-184.</w:t>
      </w:r>
      <w:r w:rsidRPr="00745360">
        <w:rPr>
          <w:rFonts w:asciiTheme="majorHAnsi" w:hAnsiTheme="majorHAnsi"/>
        </w:rPr>
        <w:fldChar w:fldCharType="end"/>
      </w:r>
    </w:p>
  </w:footnote>
  <w:footnote w:id="8">
    <w:p w14:paraId="646DB236" w14:textId="26224B5F" w:rsidR="00D55875" w:rsidRPr="00745360" w:rsidRDefault="00D55875"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A65472" w:rsidRPr="00745360">
        <w:rPr>
          <w:rFonts w:asciiTheme="majorHAnsi" w:hAnsiTheme="majorHAnsi"/>
        </w:rPr>
        <w:instrText>ADDIN CSL_CITATION {"citationItems":[{"id":"ITEM-1","itemData":{"DOI":"10.22437/home.v8i1.342","ISSN":"2598-795X","abstract":"Through the jurisprudential lens of Roscoe Pound, particularly his doctrines of legal realism and sociological jurisprudence, this article explores palm oil plantation management contracts. By situating contract law within the broader framework of social engineering, the study critiques the prevailing contractual practices in Indonesia's palm oil sector, which often privilege corporate profit at the expense of local communities and environmental sustainability. The analysis reveals a persistent asymmetry in power and legal capacity between plantation companies and rural populations, resulting in contracts that fail to deliver substantive justice. Drawing from Pound’s tripartite interest theory, individual, social, and public, the study argues that current contractual frameworks inadequately integrate ethical, ecological, and communal considerations. This research offers a normative proposal to redesign plantation management contracts as instruments of equitable governance. It advocates for a participatory and inclusive legal drafting process that recognizes local wisdom, ensures environmental accountability, and promotes distributive justice. By embedding Roscoe Pound’s vision of law as a dynamic, purposive institution, the article contributes to the evolving discourse on legal reform in natural resource management. Ultimately, it calls for a reconceptualization of contracts not merely as tools of economic transaction but as living legal instruments capable of reconciling corporate interests with the imperatives of social justice and environmental stewardship","author":[{"dropping-particle":"","family":"Sayuti","given":"Ageng Triganda","non-dropping-particle":"","parse-names":false,"suffix":""},{"dropping-particle":"","family":"Windarto","given":"Windarto","non-dropping-particle":"","parse-names":false,"suffix":""},{"dropping-particle":"","family":"Martadinata","given":"Muhammad Randhy","non-dropping-particle":"","parse-names":false,"suffix":""},{"dropping-particle":"","family":"Ridho","given":"Muhammad Ali","non-dropping-particle":"","parse-names":false,"suffix":""},{"dropping-particle":"","family":"Kadir","given":"Sulhi Muhamad Daud Abdul","non-dropping-particle":"","parse-names":false,"suffix":""}],"container-title":"Jambe Law Journal","id":"ITEM-1","issue":"1","issued":{"date-parts":[["2025","7","31"]]},"page":"375-398","title":"Legal Realism and the Future of Palm Oil Management in Indonesia","type":"article-journal","volume":"8"},"uris":["http://www.mendeley.com/documents/?uuid=c720cdfd-b711-4cc6-b951-61dd5ed19c27"]}],"mendeley":{"formattedCitation":"Ageng Triganda Sayuti et al., “Legal Realism and the Future of Palm Oil Management in Indonesia,” &lt;i&gt;Jambe Law Journal&lt;/i&gt; 8, no. 1 (July 31, 2025): 375–98, https://doi.org/10.22437/home.v8i1.342.","plainTextFormattedCitation":"Ageng Triganda Sayuti et al., “Legal Realism and the Future of Palm Oil Management in Indonesia,” Jambe Law Journal 8, no. 1 (July 31, 2025): 375–98, https://doi.org/10.22437/home.v8i1.342.","previouslyFormattedCitation":"Ageng Triganda Sayuti et al., “Legal Realism and the Future of Palm Oil Management in Indonesia,” &lt;i&gt;Jambe Law Journal&lt;/i&gt; 8, no. 1 (July 31, 2025): 375–98, https://doi.org/10.22437/home.v8i1.342."},"properties":{"noteIndex":8},"schema":"https://github.com/citation-style-language/schema/raw/master/csl-citation.json"}</w:instrText>
      </w:r>
      <w:r w:rsidRPr="00745360">
        <w:rPr>
          <w:rFonts w:asciiTheme="majorHAnsi" w:hAnsiTheme="majorHAnsi"/>
        </w:rPr>
        <w:fldChar w:fldCharType="separate"/>
      </w:r>
      <w:r w:rsidR="00F23A14" w:rsidRPr="00745360">
        <w:rPr>
          <w:rFonts w:asciiTheme="majorHAnsi" w:hAnsiTheme="majorHAnsi"/>
          <w:noProof/>
        </w:rPr>
        <w:t xml:space="preserve">Ageng Triganda Sayuti et al., “Legal Realism and the Future of Palm Oil Management in Indonesia,” </w:t>
      </w:r>
      <w:r w:rsidR="00F23A14" w:rsidRPr="00745360">
        <w:rPr>
          <w:rFonts w:asciiTheme="majorHAnsi" w:hAnsiTheme="majorHAnsi"/>
          <w:i/>
          <w:noProof/>
        </w:rPr>
        <w:t>Jambe Law Journal</w:t>
      </w:r>
      <w:r w:rsidR="00F23A14" w:rsidRPr="00745360">
        <w:rPr>
          <w:rFonts w:asciiTheme="majorHAnsi" w:hAnsiTheme="majorHAnsi"/>
          <w:noProof/>
        </w:rPr>
        <w:t xml:space="preserve"> 8, no. 1 (July 31, 2025): 375–98, https://doi.org/10.22437/home.v8i1.342.</w:t>
      </w:r>
      <w:r w:rsidRPr="00745360">
        <w:rPr>
          <w:rFonts w:asciiTheme="majorHAnsi" w:hAnsiTheme="majorHAnsi"/>
        </w:rPr>
        <w:fldChar w:fldCharType="end"/>
      </w:r>
    </w:p>
  </w:footnote>
  <w:footnote w:id="9">
    <w:p w14:paraId="5278E74C" w14:textId="7DFA48DC" w:rsidR="00A65472" w:rsidRPr="00745360" w:rsidRDefault="00A65472"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B511BC" w:rsidRPr="00745360">
        <w:rPr>
          <w:rFonts w:asciiTheme="majorHAnsi" w:hAnsiTheme="majorHAnsi"/>
        </w:rPr>
        <w:instrText>ADDIN CSL_CITATION {"citationItems":[{"id":"ITEM-1","itemData":{"DOI":"10.22437/jlj.4.1.43-68","ISSN":"2598-795X","abstract":"This article discusses the living law which stands behind the Lubuk Larangan tradition in Jambi, Indonesia. While many academics stand on belief that Lubuk Larangan is about the conservation, the article argues there is a metaphysical belief and sacred agreement that triggers such conservation by the indigenous people. Such belief has been overlooked by academics resulting in the failure of seeing the very fundamental life of the indigenous people, as long as their legal practice is concerned. This article demonstrates that the customary law norms can be found in the customary seloko of Jambi Malay, norm which is reflected the whole lives of the indigenous people, both in private and public lives. This article found that the tradition demonstrates a communal way of living and togetherness based on the need of the community. The natural conservation is nothing but the reflection of the sacred, mystic, religious adat and law to keep the nature survive","author":[{"dropping-particle":"","family":"Dwi Suryahartati","given":"","non-dropping-particle":"","parse-names":false,"suffix":""},{"dropping-particle":"","family":"Otaviarni","given":"Firya","non-dropping-particle":"","parse-names":false,"suffix":""},{"dropping-particle":"","family":"Windarto","given":"Windarto","non-dropping-particle":"","parse-names":false,"suffix":""},{"dropping-particle":"","family":"Satoto","given":"Sukamto","non-dropping-particle":"","parse-names":false,"suffix":""},{"dropping-particle":"","family":"Suhermi","given":"Suhermi","non-dropping-particle":"","parse-names":false,"suffix":""}],"container-title":"Jambe Law Journal","id":"ITEM-1","issue":"1","issued":{"date-parts":[["2021","11","14"]]},"page":"43-68","title":"The Local Customary Law: The Contribution of Adat Law in Preserving the Lubuk Larangan in Jambi","type":"article-journal","volume":"4"},"uris":["http://www.mendeley.com/documents/?uuid=d72714f8-9515-4381-91fa-9fbe0ef32011"]}],"mendeley":{"formattedCitation":"Dwi Suryahartati et al., “The Local Customary Law: The Contribution of Adat Law in Preserving the Lubuk Larangan in Jambi,” &lt;i&gt;Jambe Law Journal&lt;/i&gt; 4, no. 1 (November 14, 2021): 43–68, https://doi.org/10.22437/jlj.4.1.43-68.","plainTextFormattedCitation":"Dwi Suryahartati et al., “The Local Customary Law: The Contribution of Adat Law in Preserving the Lubuk Larangan in Jambi,” Jambe Law Journal 4, no. 1 (November 14, 2021): 43–68, https://doi.org/10.22437/jlj.4.1.43-68.","previouslyFormattedCitation":"Dwi Suryahartati et al., “The Local Customary Law: The Contribution of Adat Law in Preserving the Lubuk Larangan in Jambi,” &lt;i&gt;Jambe Law Journal&lt;/i&gt; 4, no. 1 (November 14, 2021): 43–68, https://doi.org/10.22437/jlj.4.1.43-68."},"properties":{"noteIndex":9},"schema":"https://github.com/citation-style-language/schema/raw/master/csl-citation.json"}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Dwi Suryahartati et al., “The Local Customary Law: The Contribution of Adat Law in Preserving the Lubuk Larangan in Jambi,” </w:t>
      </w:r>
      <w:r w:rsidRPr="00745360">
        <w:rPr>
          <w:rFonts w:asciiTheme="majorHAnsi" w:hAnsiTheme="majorHAnsi"/>
          <w:i/>
          <w:noProof/>
        </w:rPr>
        <w:t>Jambe Law Journal</w:t>
      </w:r>
      <w:r w:rsidRPr="00745360">
        <w:rPr>
          <w:rFonts w:asciiTheme="majorHAnsi" w:hAnsiTheme="majorHAnsi"/>
          <w:noProof/>
        </w:rPr>
        <w:t xml:space="preserve"> 4, no. 1 (November 14, 2021): 43–68, https://doi.org/10.22437/jlj.4.1.43-68.</w:t>
      </w:r>
      <w:r w:rsidRPr="00745360">
        <w:rPr>
          <w:rFonts w:asciiTheme="majorHAnsi" w:hAnsiTheme="majorHAnsi"/>
        </w:rPr>
        <w:fldChar w:fldCharType="end"/>
      </w:r>
    </w:p>
  </w:footnote>
  <w:footnote w:id="10">
    <w:p w14:paraId="511CB078" w14:textId="3270D7D3" w:rsidR="00B511BC" w:rsidRPr="00745360" w:rsidRDefault="00B511BC"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134AD4" w:rsidRPr="00745360">
        <w:rPr>
          <w:rFonts w:asciiTheme="majorHAnsi" w:hAnsiTheme="majorHAnsi"/>
        </w:rPr>
        <w:instrText>ADDIN CSL_CITATION {"citationItems":[{"id":"ITEM-1","itemData":{"DOI":"10.37893/jbh.v12i1.601","ISSN":"2656-856X","abstract":"Masyarakat hukum adat (MHA) telah lahir dan telah ada jauh sebelum terbentuknya Negara Kesatuan Republik Indonesia, sehingga harus diakui dan dihormati keberadaannya. Apakah Masyarakat hukum adat masih ada dan diakui. Penelitian ini menggunakan analisis yuridis normatif untuk meninjau Pasal 18B dan 28I ayat (1) dan (2) amandemen ketiga, peraturan perundang-undangan, dan analisis isi untuk membedakan antara norma imperatif dan fakultatif terkait hak-hak MHA. Hasil dari penelitian ini adalah Keberadaan MHA di Indonesia diakui dalam UUD 1945 dan berbagai peraturan perundang-undangan, antara lain Undang-Undang Pokok Agraria, Kehutanan, Penataan Ruang, Desa, Pemerintahan Daerah, dan Perkebunan. Namun, pengakuan tersebut mensyaratkan MHA harus masih hidup, sesuai dengan kebutuhan masyarakat, prinsip NKRI, dan diatur dalam undang-undang, sehingga merupakan pengakuan bersyarat.","author":[{"dropping-particle":"","family":"Retno Kus Setyowati","given":"","non-dropping-particle":"","parse-names":false,"suffix":""}],"container-title":"Binamulia Hukum","id":"ITEM-1","issue":"1","issued":{"date-parts":[["2023","8","27"]]},"page":"131-142","title":"Pengakuan Negara Terhadap Masyarakat Hukum Adat","type":"article-journal","volume":"12"},"uris":["http://www.mendeley.com/documents/?uuid=373eec19-810d-4d67-ad2a-e0d5a90ff995"]}],"mendeley":{"formattedCitation":"Retno Kus Setyowati, “Pengakuan Negara Terhadap Masyarakat Hukum Adat,” &lt;i&gt;Binamulia Hukum&lt;/i&gt; 12, no. 1 (August 27, 2023): 131–42, https://doi.org/10.37893/jbh.v12i1.601.","plainTextFormattedCitation":"Retno Kus Setyowati, “Pengakuan Negara Terhadap Masyarakat Hukum Adat,” Binamulia Hukum 12, no. 1 (August 27, 2023): 131–42, https://doi.org/10.37893/jbh.v12i1.601.","previouslyFormattedCitation":"Retno Kus Setyowati, “Pengakuan Negara Terhadap Masyarakat Hukum Adat,” &lt;i&gt;Binamulia Hukum&lt;/i&gt; 12, no. 1 (August 27, 2023): 131–42, https://doi.org/10.37893/jbh.v12i1.601."},"properties":{"noteIndex":10},"schema":"https://github.com/citation-style-language/schema/raw/master/csl-citation.json"}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Retno Kus Setyowati, “Pengakuan Negara Terhadap Masyarakat Hukum Adat,” </w:t>
      </w:r>
      <w:r w:rsidRPr="00745360">
        <w:rPr>
          <w:rFonts w:asciiTheme="majorHAnsi" w:hAnsiTheme="majorHAnsi"/>
          <w:i/>
          <w:noProof/>
        </w:rPr>
        <w:t>Binamulia Hukum</w:t>
      </w:r>
      <w:r w:rsidRPr="00745360">
        <w:rPr>
          <w:rFonts w:asciiTheme="majorHAnsi" w:hAnsiTheme="majorHAnsi"/>
          <w:noProof/>
        </w:rPr>
        <w:t xml:space="preserve"> 12, no. 1 (August 27, 2023): 131–42, https://doi.org/10.37893/jbh.v12i1.601.</w:t>
      </w:r>
      <w:r w:rsidRPr="00745360">
        <w:rPr>
          <w:rFonts w:asciiTheme="majorHAnsi" w:hAnsiTheme="majorHAnsi"/>
        </w:rPr>
        <w:fldChar w:fldCharType="end"/>
      </w:r>
    </w:p>
  </w:footnote>
  <w:footnote w:id="11">
    <w:p w14:paraId="34F18C55" w14:textId="08C9054D" w:rsidR="00134AD4" w:rsidRPr="00745360" w:rsidRDefault="00134AD4"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Pr="00745360">
        <w:rPr>
          <w:rFonts w:asciiTheme="majorHAnsi" w:hAnsiTheme="majorHAnsi"/>
        </w:rPr>
        <w:instrText>ADDIN CSL_CITATION {"citationItems":[{"id":"ITEM-1","itemData":{"DOI":"10.22437/MENDAPO.V6I1.38556","ISSN":"2774-7905","abstract":"Indigenous peoples have characteristics in every activity. One of the characteristics in the life of indigenous peoples, especially the indigenous people of the Lamaholot tribe, is the customary judicial institution of the Lamaholot tribe. The purpose of this study is to determine and analyse the description of the Lamaholot customary judicial institution and the role of the Lamaholot customary judicial institution in resolving customary violations during murung keneber. This research is an empirical legal research with primary and secondary data. The data were collected through interviews and literature study. The results obtained are that there is a customary judicial institution of the Lamaholot tribe that has a role in resolving customary violations during murung keneber (planting season). This institution prioritises peace and recovery efforts (mela sare). The process of resolving customary violations through the Lamaholot customary justice institution is guided by Lamaholot customary law which still believes in the power of Dewa Rerawulan Tanaekan (God) and Ama Opo Koda Kewokot (ancestors). The settlement of customary violations through the Lamaholot customary judicial institution in Leworahang, Ile Padung Village is carried out by the belen suku onen (tribal chief) Raja Tuan who is the four major tribal parts in the Lamaholot tribe consisting of the koten, kelen, hurit and maran tribes, witnessed by belen suku onen from other tribes in the village/lewotana, and attended by ata nalan (the offending party). The Lamaholot customary justice institution plays a role in resolving customary offences. The settlement has a distinctive feature because the Lamaholot customary justice institution carries out the settlement of customary violations through traditional ceremonies (loge towe tonu wujo). It is expected that the indigenous people of the Lamaholot Tribe will maintain the characteristics of the Lamaholot Tribe's customary judicial institution so that it remains effective in resolving customary violations.","author":[{"dropping-particle":"","family":"Maran","given":"Mary Grace Megumi","non-dropping-particle":"","parse-names":false,"suffix":""}],"container-title":"Mendapo: Journal of Administrative Law","id":"ITEM-1","issue":"1","issued":{"date-parts":[["2025","2","1"]]},"page":"41-58","title":"The Role of the Lamaholot Tribal Customary Justice Institution in Settling Customary Violations during Murung Keneber (Planting Season)","type":"article-journal","volume":"6"},"uris":["http://www.mendeley.com/documents/?uuid=9f6524b3-512e-37a9-832d-19672cefd640"]}],"mendeley":{"formattedCitation":"Mary Grace Megumi Maran, “The Role of the Lamaholot Tribal Customary Justice Institution in Settling Customary Violations during Murung Keneber (Planting Season),” &lt;i&gt;Mendapo: Journal of Administrative Law&lt;/i&gt; 6, no. 1 (February 1, 2025): 41–58, https://doi.org/10.22437/MENDAPO.V6I1.38556.","plainTextFormattedCitation":"Mary Grace Megumi Maran, “The Role of the Lamaholot Tribal Customary Justice Institution in Settling Customary Violations during Murung Keneber (Planting Season),” Mendapo: Journal of Administrative Law 6, no. 1 (February 1, 2025): 41–58, https://doi.org/10.22437/MENDAPO.V6I1.38556.","previouslyFormattedCitation":"Mary Grace Megumi Maran, “The Role of the Lamaholot Tribal Customary Justice Institution in Settling Customary Violations during Murung Keneber (Planting Season),” &lt;i&gt;Mendapo: Journal of Administrative Law&lt;/i&gt; 6, no. 1 (February 1, 2025): 41–58, https://doi.org/10.22437/MENDAPO.V6I1.38556."},"properties":{"noteIndex":11},"schema":"https://github.com/citation-style-language/schema/raw/master/csl-citation.json"}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Mary Grace Megumi Maran, “The Role of the Lamaholot Tribal Customary Justice Institution in Settling Customary Violations during Murung Keneber (Planting Season),” </w:t>
      </w:r>
      <w:r w:rsidRPr="00745360">
        <w:rPr>
          <w:rFonts w:asciiTheme="majorHAnsi" w:hAnsiTheme="majorHAnsi"/>
          <w:i/>
          <w:noProof/>
        </w:rPr>
        <w:t>Mendapo: Journal of Administrative Law</w:t>
      </w:r>
      <w:r w:rsidRPr="00745360">
        <w:rPr>
          <w:rFonts w:asciiTheme="majorHAnsi" w:hAnsiTheme="majorHAnsi"/>
          <w:noProof/>
        </w:rPr>
        <w:t xml:space="preserve"> 6, no. 1 (February 1, 2025): 41–58, https://doi.org/10.22437/MENDAPO.V6I1.38556.</w:t>
      </w:r>
      <w:r w:rsidRPr="00745360">
        <w:rPr>
          <w:rFonts w:asciiTheme="majorHAnsi" w:hAnsiTheme="majorHAnsi"/>
        </w:rPr>
        <w:fldChar w:fldCharType="end"/>
      </w:r>
    </w:p>
  </w:footnote>
  <w:footnote w:id="12">
    <w:p w14:paraId="120930F3" w14:textId="7A7F00DC" w:rsidR="00134AD4" w:rsidRPr="00745360" w:rsidRDefault="00134AD4"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936A20" w:rsidRPr="00745360">
        <w:rPr>
          <w:rFonts w:asciiTheme="majorHAnsi" w:hAnsiTheme="majorHAnsi"/>
        </w:rPr>
        <w:instrText>ADDIN CSL_CITATION {"citationItems":[{"id":"ITEM-1","itemData":{"DOI":"10.28918/ajlh.v5i1.2","ISSN":"2828-3058","abstract":"This paper aims to examine the legal construction of recognition for indigenous legal communities (MHA) in the Draft Law on Indigenous Peoples (RUU MHA) and analyze it within the context of Indonesia’s legal politics. Indigenous communities are a vital part of national diversity whose existence is acknowledged in Article 18B paragraph (2) of the 1945 Constitution. However, such recognition remains conditional and has yet to be effectively implemented. This research employs a normative legal method with statutory, historical, and conceptual approaches. The findings reveal that the RUU MHA offers a more comprehensive legal framework to secure the recognition of indigenous rights, including communal land, customary institutions, and freedom of belief. However, political challenges and overlapping regulations hinder its realization. In terms of legal politics, recognition of MHA is not yet a legislative priority, as seen in the delayed enactment of the bill since its inclusion in the 2012 National Legislation Program. Therefore, strong political will and legal reform are required to ensure that indigenous communities are fully recognized and protected. The RUU MHA is expected to become a legal instrument that fosters social justice and safeguards the rights of indigenous peoples in Indonesia.","author":[{"dropping-particle":"","family":"Krismawati","given":"Wulan","non-dropping-particle":"","parse-names":false,"suffix":""},{"dropping-particle":"El","family":"Fareeha","given":"Ardeli Zena","non-dropping-particle":"","parse-names":false,"suffix":""}],"container-title":"Asian Journal of Law and Humanity","id":"ITEM-1","issue":"1","issued":{"date-parts":[["2025","3","14"]]},"page":"17-32","title":"Legal Policy on the Recognition of Indigenous Peoples' Rights in the Draft Indigenous Peoples' Law","type":"article-journal","volume":"5"},"uris":["http://www.mendeley.com/documents/?uuid=7b2c6498-c7af-42ad-ac1e-3047bc7c2593"]}],"mendeley":{"formattedCitation":"Wulan Krismawati and Ardeli Zena El Fareeha, “Legal Policy on the Recognition of Indigenous Peoples’ Rights in the Draft Indigenous Peoples’ Law,” &lt;i&gt;Asian Journal of Law and Humanity&lt;/i&gt; 5, no. 1 (March 14, 2025): 17–32, https://doi.org/10.28918/ajlh.v5i1.2.","plainTextFormattedCitation":"Wulan Krismawati and Ardeli Zena El Fareeha, “Legal Policy on the Recognition of Indigenous Peoples’ Rights in the Draft Indigenous Peoples’ Law,” Asian Journal of Law and Humanity 5, no. 1 (March 14, 2025): 17–32, https://doi.org/10.28918/ajlh.v5i1.2.","previouslyFormattedCitation":"Wulan Krismawati and Ardeli Zena El Fareeha, “Legal Policy on the Recognition of Indigenous Peoples’ Rights in the Draft Indigenous Peoples’ Law,” &lt;i&gt;Asian Journal of Law and Humanity&lt;/i&gt; 5, no. 1 (March 14, 2025): 17–32, https://doi.org/10.28918/ajlh.v5i1.2."},"properties":{"noteIndex":12},"schema":"https://github.com/citation-style-language/schema/raw/master/csl-citation.json"}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Wulan Krismawati and Ardeli Zena El Fareeha, “Legal Policy on the Recognition of Indigenous Peoples’ Rights in the Draft Indigenous Peoples’ Law,” </w:t>
      </w:r>
      <w:r w:rsidRPr="00745360">
        <w:rPr>
          <w:rFonts w:asciiTheme="majorHAnsi" w:hAnsiTheme="majorHAnsi"/>
          <w:i/>
          <w:noProof/>
        </w:rPr>
        <w:t>Asian Journal of Law and Humanity</w:t>
      </w:r>
      <w:r w:rsidRPr="00745360">
        <w:rPr>
          <w:rFonts w:asciiTheme="majorHAnsi" w:hAnsiTheme="majorHAnsi"/>
          <w:noProof/>
        </w:rPr>
        <w:t xml:space="preserve"> 5, no. 1 (March 14, 2025): 17–32, https://doi.org/10.28918/ajlh.v5i1.2.</w:t>
      </w:r>
      <w:r w:rsidRPr="00745360">
        <w:rPr>
          <w:rFonts w:asciiTheme="majorHAnsi" w:hAnsiTheme="majorHAnsi"/>
        </w:rPr>
        <w:fldChar w:fldCharType="end"/>
      </w:r>
    </w:p>
  </w:footnote>
  <w:footnote w:id="13">
    <w:p w14:paraId="2C5EE60A" w14:textId="558E3EA2" w:rsidR="00936A20" w:rsidRPr="00745360" w:rsidRDefault="00936A20"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C32BB1" w:rsidRPr="00745360">
        <w:rPr>
          <w:rFonts w:asciiTheme="majorHAnsi" w:hAnsiTheme="majorHAnsi"/>
        </w:rPr>
        <w:instrText>ADDIN CSL_CITATION {"citationItems":[{"id":"ITEM-1","itemData":{"DOI":"10.22437/home.v7i1.347","ISSN":"2598-795X","abstract":"Indigenous peoples' existence is intrinsically linked to their customary rights, with significant disputes arising over the formal recognition of these rights. However, conditional or partial legal recognition frequently disadvantages indigenous communities. The state has a responsibility to uphold the rights of indigenous peoples, necessitating regulations that effectively safeguard their land rights. This article examines the recognition and fulfilment of indigenous peoples’ rights to natural resources through legal analysis, conceptual frameworks, and case studies. The findings indicate that since 1998, there has been a governmental intent to formally recognize indigenous rights to natural resources, as reflected in various laws and regulations. However, the implementation of these rights has been challenging due to ambiguities in the 1945 Constitution and the related regulations. Effective fulfilment of Indigenous land rights must adhere to key principles, including recognition of jurisdictional areas, the right to self-determination, Indigenous consent, community involvement, and the provision of fair compensation","author":[{"dropping-particle":"","family":"Soelistyowati","given":"Soelistyowati","non-dropping-particle":"","parse-names":false,"suffix":""}],"container-title":"Jambe Law Journal","id":"ITEM-1","issue":"1","issued":{"date-parts":[["2024","7","30"]]},"page":"149-167","title":"Reassessing State Responsibility for Indigenous Rights to Natural Resources Based on Justice Principle","type":"article-journal","volume":"7"},"uris":["http://www.mendeley.com/documents/?uuid=f8f2e3ea-589a-4d61-86ae-c367dcfd0510"]}],"mendeley":{"formattedCitation":"Soelistyowati Soelistyowati, “Reassessing State Responsibility for Indigenous Rights to Natural Resources Based on Justice Principle,” &lt;i&gt;Jambe Law Journal&lt;/i&gt; 7, no. 1 (July 30, 2024): 149–67, https://doi.org/10.22437/home.v7i1.347.","plainTextFormattedCitation":"Soelistyowati Soelistyowati, “Reassessing State Responsibility for Indigenous Rights to Natural Resources Based on Justice Principle,” Jambe Law Journal 7, no. 1 (July 30, 2024): 149–67, https://doi.org/10.22437/home.v7i1.347.","previouslyFormattedCitation":"Soelistyowati Soelistyowati, “Reassessing State Responsibility for Indigenous Rights to Natural Resources Based on Justice Principle,” &lt;i&gt;Jambe Law Journal&lt;/i&gt; 7, no. 1 (July 30, 2024): 149–67, https://doi.org/10.22437/home.v7i1.347."},"properties":{"noteIndex":13},"schema":"https://github.com/citation-style-language/schema/raw/master/csl-citation.json"}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Soelistyowati Soelistyowati, “Reassessing State Responsibility for Indigenous Rights to Natural Resources Based on Justice Principle,” </w:t>
      </w:r>
      <w:r w:rsidRPr="00745360">
        <w:rPr>
          <w:rFonts w:asciiTheme="majorHAnsi" w:hAnsiTheme="majorHAnsi"/>
          <w:i/>
          <w:noProof/>
        </w:rPr>
        <w:t>Jambe Law Journal</w:t>
      </w:r>
      <w:r w:rsidRPr="00745360">
        <w:rPr>
          <w:rFonts w:asciiTheme="majorHAnsi" w:hAnsiTheme="majorHAnsi"/>
          <w:noProof/>
        </w:rPr>
        <w:t xml:space="preserve"> 7, no. 1 (July 30, 2024): 149–67, https://doi.org/10.22437/home.v7i1.347.</w:t>
      </w:r>
      <w:r w:rsidRPr="00745360">
        <w:rPr>
          <w:rFonts w:asciiTheme="majorHAnsi" w:hAnsiTheme="majorHAnsi"/>
        </w:rPr>
        <w:fldChar w:fldCharType="end"/>
      </w:r>
    </w:p>
  </w:footnote>
  <w:footnote w:id="14">
    <w:p w14:paraId="7A050300" w14:textId="3F6D5AE9" w:rsidR="00C32BB1" w:rsidRPr="00745360" w:rsidRDefault="00C32BB1"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E93EE7" w:rsidRPr="00745360">
        <w:rPr>
          <w:rFonts w:asciiTheme="majorHAnsi" w:hAnsiTheme="majorHAnsi"/>
        </w:rPr>
        <w:instrText>ADDIN CSL_CITATION {"citationItems":[{"id":"ITEM-1","itemData":{"DOI":"10.37092/hutanasyah.v4i1.1191","ISSN":"3026-2496","abstract":"Natural resource management in Indonesia is a complex phenomenon characterized by the state's efforts to drive economic growth while simultaneously protecting the rights of indigenous legal communities that have long preserved environmental balance. The constitutional basis provided by Articles 33 and 18B of the 1945 Constitution affirms the state's authority to optimize natural wealth for the prosperity of the people, while accommodating local autonomy and recognizing customary rights. This analysis was conducted using a normative legal approach combined with qualitative and anthropological perspectives to examine legal documents ranging from Law No. 5 of 1960, Law of the Republic of Indonesia No. 23 of 1997, and Law No. 32 of 2009, to the recent updates through Law No. 32 of 2024, Law No. 17 of 2019, Law No. 3 of 2020, and Law of the Republic of Indonesia No. 1 of 2014, in addition to reviewing the Draft Law on Indigenous Legal Communities (RUU MHA). The evaluation results reveal a fundamental difference between the national regulatory framework and the implementation of customary legal norms, which leads to inconsistent natural resource management practices and uneven distribution of benefits. These findings underscore the importance of reformulating regulations through the active involvement of various stakeholders and the thorough integration of indigenous legal communities' roles at every stage of policy formulation to create a more inclusive, equitable, and sustainable natural resource governance.","author":[{"dropping-particle":"","family":"Sugianto","given":"","non-dropping-particle":"","parse-names":false,"suffix":""},{"dropping-particle":"","family":"Tarmudi","given":"","non-dropping-particle":"","parse-names":false,"suffix":""},{"dropping-particle":"","family":"Ahmad Royhan Bustomi","given":"","non-dropping-particle":"","parse-names":false,"suffix":""},{"dropping-particle":"","family":"Derrel Azhar Sugianto","given":"","non-dropping-particle":"","parse-names":false,"suffix":""},{"dropping-particle":"","family":"Fardan Zidane Juniawan","given":"","non-dropping-particle":"","parse-names":false,"suffix":""}],"container-title":"Hutanasyah : Jurnal Hukum Tata Negara","id":"ITEM-1","issue":"1","issued":{"date-parts":[["2025","8","30"]]},"page":"89-100","title":"Politik Hukum dalam Pengelolaan Sumber Daya Alam: Antara Kepentingan Negara dan Hak Masyarakat Adat","type":"article-journal","volume":"4"},"uris":["http://www.mendeley.com/documents/?uuid=540e8125-f94a-47e3-bdac-ccbc4288e439"]}],"mendeley":{"formattedCitation":"Sugianto et al., “Politik Hukum Dalam Pengelolaan Sumber Daya Alam: Antara Kepentingan Negara Dan Hak Masyarakat Adat,” &lt;i&gt;Hutanasyah : Jurnal Hukum Tata Negara&lt;/i&gt; 4, no. 1 (August 30, 2025): 89–100, https://doi.org/10.37092/hutanasyah.v4i1.1191.","plainTextFormattedCitation":"Sugianto et al., “Politik Hukum Dalam Pengelolaan Sumber Daya Alam: Antara Kepentingan Negara Dan Hak Masyarakat Adat,” Hutanasyah : Jurnal Hukum Tata Negara 4, no. 1 (August 30, 2025): 89–100, https://doi.org/10.37092/hutanasyah.v4i1.1191.","previouslyFormattedCitation":"Sugianto et al., “Politik Hukum Dalam Pengelolaan Sumber Daya Alam: Antara Kepentingan Negara Dan Hak Masyarakat Adat,” &lt;i&gt;Hutanasyah : Jurnal Hukum Tata Negara&lt;/i&gt; 4, no. 1 (August 30, 2025): 89–100, https://doi.org/10.37092/hutanasyah.v4i1.1191."},"properties":{"noteIndex":14},"schema":"https://github.com/citation-style-language/schema/raw/master/csl-citation.json"}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Sugianto et al., “Politik Hukum Dalam Pengelolaan Sumber Daya Alam: Antara Kepentingan Negara Dan Hak Masyarakat Adat,” </w:t>
      </w:r>
      <w:r w:rsidRPr="00745360">
        <w:rPr>
          <w:rFonts w:asciiTheme="majorHAnsi" w:hAnsiTheme="majorHAnsi"/>
          <w:i/>
          <w:noProof/>
        </w:rPr>
        <w:t>Hutanasyah : Jurnal Hukum Tata Negara</w:t>
      </w:r>
      <w:r w:rsidRPr="00745360">
        <w:rPr>
          <w:rFonts w:asciiTheme="majorHAnsi" w:hAnsiTheme="majorHAnsi"/>
          <w:noProof/>
        </w:rPr>
        <w:t xml:space="preserve"> 4, no. 1 (August 30, 2025): 89–100, https://doi.org/10.37092/hutanasyah.v4i1.1191.</w:t>
      </w:r>
      <w:r w:rsidRPr="00745360">
        <w:rPr>
          <w:rFonts w:asciiTheme="majorHAnsi" w:hAnsiTheme="majorHAnsi"/>
        </w:rPr>
        <w:fldChar w:fldCharType="end"/>
      </w:r>
    </w:p>
  </w:footnote>
  <w:footnote w:id="15">
    <w:p w14:paraId="1B8C52CC" w14:textId="2ACECB24" w:rsidR="00E93EE7" w:rsidRPr="00745360" w:rsidRDefault="00E93EE7"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7D1A39" w:rsidRPr="00745360">
        <w:rPr>
          <w:rFonts w:asciiTheme="majorHAnsi" w:hAnsiTheme="majorHAnsi"/>
        </w:rPr>
        <w:instrText>ADDIN CSL_CITATION {"citationItems":[{"id":"ITEM-1","itemData":{"DOI":"10.1080/13563467.2022.2138300","ISSN":"1356-3467","author":[{"dropping-particle":"","family":"Brad","given":"Alina","non-dropping-particle":"","parse-names":false,"suffix":""},{"dropping-particle":"","family":"Hein","given":"Jonas","non-dropping-particle":"","parse-names":false,"suffix":""}],"container-title":"New Political Economy","id":"ITEM-1","issue":"3","issued":{"date-parts":[["2023","5","4"]]},"page":"452-467","title":"Towards transnational agrarian conflicts? Global NGOs, transnational agrobusiness and local struggles for land on Sumatra","type":"article-journal","volume":"28"},"uris":["http://www.mendeley.com/documents/?uuid=3bc7cf42-1b9f-44a0-b8f9-26601d6baf33"]}],"mendeley":{"formattedCitation":"Alina Brad and Jonas Hein, “Towards Transnational Agrarian Conflicts? Global NGOs, Transnational Agrobusiness and Local Struggles for Land on Sumatra,” &lt;i&gt;New Political Economy&lt;/i&gt; 28, no. 3 (May 4, 2023): 452–67, https://doi.org/10.1080/13563467.2022.2138300.","plainTextFormattedCitation":"Alina Brad and Jonas Hein, “Towards Transnational Agrarian Conflicts? Global NGOs, Transnational Agrobusiness and Local Struggles for Land on Sumatra,” New Political Economy 28, no. 3 (May 4, 2023): 452–67, https://doi.org/10.1080/13563467.2022.2138300.","previouslyFormattedCitation":"Alina Brad and Jonas Hein, “Towards Transnational Agrarian Conflicts? Global NGOs, Transnational Agrobusiness and Local Struggles for Land on Sumatra,” &lt;i&gt;New Political Economy&lt;/i&gt; 28, no. 3 (May 4, 2023): 452–67, https://doi.org/10.1080/13563467.2022.2138300."},"properties":{"noteIndex":15},"schema":"https://github.com/citation-style-language/schema/raw/master/csl-citation.json"}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Alina Brad and Jonas Hein, “Towards Transnational Agrarian Conflicts? Global NGOs, Transnational Agrobusiness and Local Struggles for Land on Sumatra,” </w:t>
      </w:r>
      <w:r w:rsidRPr="00745360">
        <w:rPr>
          <w:rFonts w:asciiTheme="majorHAnsi" w:hAnsiTheme="majorHAnsi"/>
          <w:i/>
          <w:noProof/>
        </w:rPr>
        <w:t>New Political Economy</w:t>
      </w:r>
      <w:r w:rsidRPr="00745360">
        <w:rPr>
          <w:rFonts w:asciiTheme="majorHAnsi" w:hAnsiTheme="majorHAnsi"/>
          <w:noProof/>
        </w:rPr>
        <w:t xml:space="preserve"> 28, no. 3 (May 4, 2023): 452–67, https://doi.org/10.1080/13563467.2022.2138300.</w:t>
      </w:r>
      <w:r w:rsidRPr="00745360">
        <w:rPr>
          <w:rFonts w:asciiTheme="majorHAnsi" w:hAnsiTheme="majorHAnsi"/>
        </w:rPr>
        <w:fldChar w:fldCharType="end"/>
      </w:r>
    </w:p>
  </w:footnote>
  <w:footnote w:id="16">
    <w:p w14:paraId="6CA0AD0A" w14:textId="22F2D93A" w:rsidR="007D1A39" w:rsidRPr="00745360" w:rsidRDefault="007D1A39"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F60952" w:rsidRPr="00745360">
        <w:rPr>
          <w:rFonts w:asciiTheme="majorHAnsi" w:hAnsiTheme="majorHAnsi"/>
        </w:rPr>
        <w:instrText>ADDIN CSL_CITATION {"citationItems":[{"id":"ITEM-1","itemData":{"author":[{"dropping-particle":"","family":"Pahlefi","given":"","non-dropping-particle":"","parse-names":false,"suffix":""},{"dropping-particle":"","family":"Eko Nuriyatman","given":"","non-dropping-particle":"","parse-names":false,"suffix":""},{"dropping-particle":"","family":"Lili Naili Hidayah","given":"","non-dropping-particle":"","parse-names":false,"suffix":""}],"id":"ITEM-1","issued":{"date-parts":[["2023"]]},"publisher":"Damera Press","publisher-place":"Jakarta Selatan","title":"Sumber Daya Alam Dalam Perspektif Hukum Adat","type":"book"},"uris":["http://www.mendeley.com/documents/?uuid=20cd78c1-bc85-340a-ab46-f1bd59148f78"]}],"mendeley":{"formattedCitation":"Pahlefi, Eko Nuriyatman, and Lili Naili Hidayah, &lt;i&gt;Sumber Daya Alam Dalam Perspektif Hukum Adat&lt;/i&gt;.","plainTextFormattedCitation":"Pahlefi, Eko Nuriyatman, and Lili Naili Hidayah, Sumber Daya Alam Dalam Perspektif Hukum Adat.","previouslyFormattedCitation":"Pahlefi, Eko Nuriyatman, and Lili Naili Hidayah, &lt;i&gt;Sumber Daya Alam Dalam Perspektif Hukum Adat&lt;/i&gt;."},"properties":{"noteIndex":16},"schema":"https://github.com/citation-style-language/schema/raw/master/csl-citation.json"}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Pahlefi, Eko Nuriyatman, and Lili Naili Hidayah, </w:t>
      </w:r>
      <w:r w:rsidRPr="00745360">
        <w:rPr>
          <w:rFonts w:asciiTheme="majorHAnsi" w:hAnsiTheme="majorHAnsi"/>
          <w:i/>
          <w:noProof/>
        </w:rPr>
        <w:t>Sumber Daya Alam Dalam Perspektif Hukum Adat</w:t>
      </w:r>
      <w:r w:rsidRPr="00745360">
        <w:rPr>
          <w:rFonts w:asciiTheme="majorHAnsi" w:hAnsiTheme="majorHAnsi"/>
          <w:noProof/>
        </w:rPr>
        <w:t>.</w:t>
      </w:r>
      <w:r w:rsidRPr="00745360">
        <w:rPr>
          <w:rFonts w:asciiTheme="majorHAnsi" w:hAnsiTheme="majorHAnsi"/>
        </w:rPr>
        <w:fldChar w:fldCharType="end"/>
      </w:r>
    </w:p>
  </w:footnote>
  <w:footnote w:id="17">
    <w:p w14:paraId="43F63B1F" w14:textId="0A61EA6D" w:rsidR="00F60952" w:rsidRPr="00745360" w:rsidRDefault="00F60952"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F8371D" w:rsidRPr="00745360">
        <w:rPr>
          <w:rFonts w:asciiTheme="majorHAnsi" w:hAnsiTheme="majorHAnsi"/>
        </w:rPr>
        <w:instrText>ADDIN CSL_CITATION {"citationItems":[{"id":"ITEM-1","itemData":{"DOI":"10.1017/als.2015.23","ISSN":"2052-9015","abstract":"Using a socioeconomic rights framework, this article will evaluate government policy relating to housing welfare in Hong Kong. In particular, it will explore the alarming plight of cage tenants in Hong Kong, a highly marginalized group estimated to be as many as 200,000 in number, who live day to day in cramped, dank dwellings averaging 15 square feet in size. It will argue that current government policies are incompatible with the International Covenant on Economic, Social and Cultural Rights (ICESCR) and the International Covenant on Civil and Political Rights (ICCPR). It will further look at strategies for domesticating these international human rights treaties. In doing so, this article will contribute to the ongoing debate concerning the legal nature of socioeconomic rights.","author":[{"dropping-particle":"","family":"MARSH","given":"Luke","non-dropping-particle":"","parse-names":false,"suffix":""}],"container-title":"Asian Journal of Law and Society","id":"ITEM-1","issue":"1","issued":{"date-parts":[["2016","5","1"]]},"page":"159-188","title":"The Strategic Use of Human Rights Treaties in Hong Kong’s Cage-Home Crisis: No Way Out?","type":"article-journal","volume":"3"},"uris":["http://www.mendeley.com/documents/?uuid=aeaf777f-bc9c-4718-913a-b7e326726381"]}],"mendeley":{"formattedCitation":"Luke MARSH, “The Strategic Use of Human Rights Treaties in Hong Kong’s Cage-Home Crisis: No Way Out?,” &lt;i&gt;Asian Journal of Law and Society&lt;/i&gt; 3, no. 1 (May 1, 2016): 159–88, https://doi.org/10.1017/als.2015.23.","plainTextFormattedCitation":"Luke MARSH, “The Strategic Use of Human Rights Treaties in Hong Kong’s Cage-Home Crisis: No Way Out?,” Asian Journal of Law and Society 3, no. 1 (May 1, 2016): 159–88, https://doi.org/10.1017/als.2015.23.","previouslyFormattedCitation":"Luke MARSH, “The Strategic Use of Human Rights Treaties in Hong Kong’s Cage-Home Crisis: No Way Out?,” &lt;i&gt;Asian Journal of Law and Society&lt;/i&gt; 3, no. 1 (May 1, 2016): 159–88, https://doi.org/10.1017/als.2015.23."},"properties":{"noteIndex":17},"schema":"https://github.com/citation-style-language/schema/raw/master/csl-citation.json"}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Luke MARSH, “The Strategic Use of Human Rights Treaties in Hong Kong’s Cage-Home Crisis: No Way Out?,” </w:t>
      </w:r>
      <w:r w:rsidRPr="00745360">
        <w:rPr>
          <w:rFonts w:asciiTheme="majorHAnsi" w:hAnsiTheme="majorHAnsi"/>
          <w:i/>
          <w:noProof/>
        </w:rPr>
        <w:t>Asian Journal of Law and Society</w:t>
      </w:r>
      <w:r w:rsidRPr="00745360">
        <w:rPr>
          <w:rFonts w:asciiTheme="majorHAnsi" w:hAnsiTheme="majorHAnsi"/>
          <w:noProof/>
        </w:rPr>
        <w:t xml:space="preserve"> 3, no. 1 (May 1, 2016): 159–88, https://doi.org/10.1017/als.2015.23.</w:t>
      </w:r>
      <w:r w:rsidRPr="00745360">
        <w:rPr>
          <w:rFonts w:asciiTheme="majorHAnsi" w:hAnsiTheme="majorHAnsi"/>
        </w:rPr>
        <w:fldChar w:fldCharType="end"/>
      </w:r>
    </w:p>
  </w:footnote>
  <w:footnote w:id="18">
    <w:p w14:paraId="51422DC5" w14:textId="474D0573" w:rsidR="00F8371D" w:rsidRPr="00745360" w:rsidRDefault="00F8371D"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6C58D2" w:rsidRPr="00745360">
        <w:rPr>
          <w:rFonts w:asciiTheme="majorHAnsi" w:hAnsiTheme="majorHAnsi"/>
        </w:rPr>
        <w:instrText>ADDIN CSL_CITATION {"citationItems":[{"id":"ITEM-1","itemData":{"author":[{"dropping-particle":"","family":"Suparto","given":"","non-dropping-particle":"","parse-names":false,"suffix":""}],"container-title":"Bina Hukum Lingkugan","id":"ITEM-1","issue":"2","issued":{"date-parts":[["2021"]]},"title":"Kedudukan dan Proses Penetapan Hutan Adat Pasca Putusan Mahkamah Konstitusi No. 35/Puu-X/2012 Serta Implementasinya di Provinsi Riau","type":"article-journal","volume":"5"},"uris":["http://www.mendeley.com/documents/?uuid=01296438-4974-4e7b-a046-cf897faac4eb"]}],"mendeley":{"formattedCitation":"Suparto, “Kedudukan Dan Proses Penetapan Hutan Adat Pasca Putusan Mahkamah Konstitusi No. 35/Puu-X/2012 Serta Implementasinya Di Provinsi Riau,” &lt;i&gt;Bina Hukum Lingkugan&lt;/i&gt; 5, no. 2 (2021), https://bhl-jurnal.or.id/index.php/bhl/article/view/148.","plainTextFormattedCitation":"Suparto, “Kedudukan Dan Proses Penetapan Hutan Adat Pasca Putusan Mahkamah Konstitusi No. 35/Puu-X/2012 Serta Implementasinya Di Provinsi Riau,” Bina Hukum Lingkugan 5, no. 2 (2021), https://bhl-jurnal.or.id/index.php/bhl/article/view/148.","previouslyFormattedCitation":"Suparto, “Kedudukan Dan Proses Penetapan Hutan Adat Pasca Putusan Mahkamah Konstitusi No. 35/Puu-X/2012 Serta Implementasinya Di Provinsi Riau,” &lt;i&gt;Bina Hukum Lingkugan&lt;/i&gt; 5, no. 2 (2021), https://bhl-jurnal.or.id/index.php/bhl/article/view/148."},"properties":{"noteIndex":18},"schema":"https://github.com/citation-style-language/schema/raw/master/csl-citation.json"}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Suparto, “Kedudukan Dan Proses Penetapan Hutan Adat Pasca Putusan Mahkamah Konstitusi No. 35/Puu-X/2012 Serta Implementasinya Di Provinsi Riau,” </w:t>
      </w:r>
      <w:r w:rsidRPr="00745360">
        <w:rPr>
          <w:rFonts w:asciiTheme="majorHAnsi" w:hAnsiTheme="majorHAnsi"/>
          <w:i/>
          <w:noProof/>
        </w:rPr>
        <w:t>Bina Hukum Lingkugan</w:t>
      </w:r>
      <w:r w:rsidRPr="00745360">
        <w:rPr>
          <w:rFonts w:asciiTheme="majorHAnsi" w:hAnsiTheme="majorHAnsi"/>
          <w:noProof/>
        </w:rPr>
        <w:t xml:space="preserve"> 5, no. 2 (2021), https://bhl-jurnal.or.id/index.php/bhl/article/view/148.</w:t>
      </w:r>
      <w:r w:rsidRPr="00745360">
        <w:rPr>
          <w:rFonts w:asciiTheme="majorHAnsi" w:hAnsiTheme="majorHAnsi"/>
        </w:rPr>
        <w:fldChar w:fldCharType="end"/>
      </w:r>
    </w:p>
  </w:footnote>
  <w:footnote w:id="19">
    <w:p w14:paraId="07A70358" w14:textId="04B59AEE" w:rsidR="006C58D2" w:rsidRPr="00745360" w:rsidRDefault="006C58D2"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Pr="00745360">
        <w:rPr>
          <w:rFonts w:asciiTheme="majorHAnsi" w:hAnsiTheme="majorHAnsi"/>
        </w:rPr>
        <w:instrText>ADDIN CSL_CITATION {"citationItems":[{"id":"ITEM-1","itemData":{"DOI":"10.31602/al-adl.v5i10.190","ISSN":"2477-0124","author":[{"dropping-particle":"","family":"Septarina","given":"Muthia","non-dropping-particle":"","parse-names":false,"suffix":""}],"container-title":"Al-Adl : Jurnal Hukum","id":"ITEM-1","issue":"10","issued":{"date-parts":[["2013","7","1"]]},"title":"Tata Kelola Hutan Adat Pasca Putusan MK No 35/PUU-X/2012","type":"article-journal","volume":"5"},"uris":["http://www.mendeley.com/documents/?uuid=23804b09-6f13-40b0-9c2f-9400bd3f6aea"]}],"mendeley":{"formattedCitation":"Muthia Septarina, “Tata Kelola Hutan Adat Pasca Putusan MK No 35/PUU-X/2012,” &lt;i&gt;Al-Adl : Jurnal Hukum&lt;/i&gt; 5, no. 10 (July 1, 2013), https://doi.org/10.31602/al-adl.v5i10.190.","plainTextFormattedCitation":"Muthia Septarina, “Tata Kelola Hutan Adat Pasca Putusan MK No 35/PUU-X/2012,” Al-Adl : Jurnal Hukum 5, no. 10 (July 1, 2013), https://doi.org/10.31602/al-adl.v5i10.190.","previouslyFormattedCitation":"Muthia Septarina, “Tata Kelola Hutan Adat Pasca Putusan MK No 35/PUU-X/2012,” &lt;i&gt;Al-Adl : Jurnal Hukum&lt;/i&gt; 5, no. 10 (July 1, 2013), https://doi.org/10.31602/al-adl.v5i10.190."},"properties":{"noteIndex":19},"schema":"https://github.com/citation-style-language/schema/raw/master/csl-citation.json"}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Muthia Septarina, “Tata Kelola Hutan Adat Pasca Putusan MK No 35/PUU-X/2012,” </w:t>
      </w:r>
      <w:r w:rsidRPr="00745360">
        <w:rPr>
          <w:rFonts w:asciiTheme="majorHAnsi" w:hAnsiTheme="majorHAnsi"/>
          <w:i/>
          <w:noProof/>
        </w:rPr>
        <w:t>Al-Adl : Jurnal Hukum</w:t>
      </w:r>
      <w:r w:rsidRPr="00745360">
        <w:rPr>
          <w:rFonts w:asciiTheme="majorHAnsi" w:hAnsiTheme="majorHAnsi"/>
          <w:noProof/>
        </w:rPr>
        <w:t xml:space="preserve"> 5, no. 10 (July 1, 2013), https://doi.org/10.31602/al-adl.v5i10.190.</w:t>
      </w:r>
      <w:r w:rsidRPr="00745360">
        <w:rPr>
          <w:rFonts w:asciiTheme="majorHAnsi" w:hAnsiTheme="majorHAnsi"/>
        </w:rPr>
        <w:fldChar w:fldCharType="end"/>
      </w:r>
    </w:p>
  </w:footnote>
  <w:footnote w:id="20">
    <w:p w14:paraId="0DD3C53C" w14:textId="44833723" w:rsidR="006C58D2" w:rsidRPr="00745360" w:rsidRDefault="006C58D2"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DA7F9B" w:rsidRPr="00745360">
        <w:rPr>
          <w:rFonts w:asciiTheme="majorHAnsi" w:hAnsiTheme="majorHAnsi"/>
        </w:rPr>
        <w:instrText>ADDIN CSL_CITATION {"citationItems":[{"id":"ITEM-1","itemData":{"DOI":"10.31602/al-adl.v5i10.190","ISSN":"2477-0124","author":[{"dropping-particle":"","family":"Septarina","given":"Muthia","non-dropping-particle":"","parse-names":false,"suffix":""}],"container-title":"Al-Adl : Jurnal Hukum","id":"ITEM-1","issue":"10","issued":{"date-parts":[["2013","7","1"]]},"title":"Tata Kelola Hutan Adat Pasca Putusan MK No 35/PUU-X/2012","type":"article-journal","volume":"5"},"uris":["http://www.mendeley.com/documents/?uuid=23804b09-6f13-40b0-9c2f-9400bd3f6aea"]}],"mendeley":{"formattedCitation":"Septarina.","plainTextFormattedCitation":"Septarina.","previouslyFormattedCitation":"Septarina."},"properties":{"noteIndex":20},"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Septarina.</w:t>
      </w:r>
      <w:r w:rsidRPr="00745360">
        <w:rPr>
          <w:rFonts w:asciiTheme="majorHAnsi" w:hAnsiTheme="majorHAnsi"/>
        </w:rPr>
        <w:fldChar w:fldCharType="end"/>
      </w:r>
    </w:p>
  </w:footnote>
  <w:footnote w:id="21">
    <w:p w14:paraId="4D1F194A" w14:textId="6367040C" w:rsidR="00DA7F9B" w:rsidRPr="00745360" w:rsidRDefault="00DA7F9B"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B74BAD" w:rsidRPr="00745360">
        <w:rPr>
          <w:rFonts w:asciiTheme="majorHAnsi" w:hAnsiTheme="majorHAnsi"/>
        </w:rPr>
        <w:instrText>ADDIN CSL_CITATION {"citationItems":[{"id":"ITEM-1","itemData":{"DOI":"10.51903/perkara.v2i2.1844","ISSN":"2988-5213","abstract":"The Constitutional Court's decision confirms that customary forests are no longer state forests. This decision concerns two issues, namely, regarding customary forests and conditional recognition of the existence of indigenous communities. Legal issues, what are the implications of the Constitutional Court's decision on the regulation of customary forests and its impact on the rights of customary law communities. Aims to determine the implications of the Constitutional Court's decision on customary forest regulation and its impact on the rights of customary law communities. Types of normative research. Library study data collection techniques. The types of approaches are the statutory approach, contextual approach, historical approach, comparative approach and analytical approach. Using primary and secondary legal materials. Qualitative descriptive analysis. The research results show that Constitutional Court Decision has implications for forestry regulation in the form of creating implementing regulations governing customary forests that have developed significantly. The impact of the decision on customary law communities is, namely, the positive impact, customary law communities are recognized as owners of customary forests and the negative impact, the conditionality of recognition of the existence of customary law communities is increasingly strengthened.","author":[{"dropping-particle":"","family":"Paulus Pora Putra Fajar","given":"","non-dropping-particle":"","parse-names":false,"suffix":""},{"dropping-particle":"","family":"Sukardan Aloysius","given":"","non-dropping-particle":"","parse-names":false,"suffix":""},{"dropping-particle":"","family":"Husni Kusuma Dinata","given":"","non-dropping-particle":"","parse-names":false,"suffix":""}],"container-title":"Perkara : Jurnal Ilmu Hukum dan Politik","id":"ITEM-1","issue":"2","issued":{"date-parts":[["2024","4","7"]]},"page":"39-61","title":"Implikasi Putusan Mahkamah Konstitusi Nomor 35/PUU-X/2012 terhadap Pengaturan Hutan Adat dan Dampaknya terhadap Hak Masyarakat Adat","type":"article-journal","volume":"2"},"uris":["http://www.mendeley.com/documents/?uuid=93e46172-bb18-428f-8940-0984d88f4679"]}],"mendeley":{"formattedCitation":"Paulus Pora Putra Fajar, Sukardan Aloysius, and Husni Kusuma Dinata, “Implikasi Putusan Mahkamah Konstitusi Nomor 35/PUU-X/2012 Terhadap Pengaturan Hutan Adat Dan Dampaknya Terhadap Hak Masyarakat Adat,” &lt;i&gt;Perkara : Jurnal Ilmu Hukum Dan Politik&lt;/i&gt; 2, no. 2 (April 7, 2024): 39–61, https://doi.org/10.51903/perkara.v2i2.1844.","plainTextFormattedCitation":"Paulus Pora Putra Fajar, Sukardan Aloysius, and Husni Kusuma Dinata, “Implikasi Putusan Mahkamah Konstitusi Nomor 35/PUU-X/2012 Terhadap Pengaturan Hutan Adat Dan Dampaknya Terhadap Hak Masyarakat Adat,” Perkara : Jurnal Ilmu Hukum Dan Politik 2, no. 2 (April 7, 2024): 39–61, https://doi.org/10.51903/perkara.v2i2.1844.","previouslyFormattedCitation":"Paulus Pora Putra Fajar, Sukardan Aloysius, and Husni Kusuma Dinata, “Implikasi Putusan Mahkamah Konstitusi Nomor 35/PUU-X/2012 Terhadap Pengaturan Hutan Adat Dan Dampaknya Terhadap Hak Masyarakat Adat,” &lt;i&gt;Perkara : Jurnal Ilmu Hukum Dan Politik&lt;/i&gt; 2, no. 2 (April 7, 2024): 39–61, https://doi.org/10.51903/perkara.v2i2.1844."},"properties":{"noteIndex":21},"schema":"https://github.com/citation-style-language/schema/raw/master/csl-citation.json"}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Paulus Pora Putra Fajar, Sukardan Aloysius, and Husni Kusuma Dinata, “Implikasi Putusan Mahkamah Konstitusi Nomor 35/PUU-X/2012 Terhadap Pengaturan Hutan Adat Dan Dampaknya Terhadap Hak Masyarakat Adat,” </w:t>
      </w:r>
      <w:r w:rsidRPr="00745360">
        <w:rPr>
          <w:rFonts w:asciiTheme="majorHAnsi" w:hAnsiTheme="majorHAnsi"/>
          <w:i/>
          <w:noProof/>
        </w:rPr>
        <w:t>Perkara : Jurnal Ilmu Hukum Dan Politik</w:t>
      </w:r>
      <w:r w:rsidRPr="00745360">
        <w:rPr>
          <w:rFonts w:asciiTheme="majorHAnsi" w:hAnsiTheme="majorHAnsi"/>
          <w:noProof/>
        </w:rPr>
        <w:t xml:space="preserve"> 2, no. 2 (April 7, 2024): 39–61, https://doi.org/10.51903/perkara.v2i2.1844.</w:t>
      </w:r>
      <w:r w:rsidRPr="00745360">
        <w:rPr>
          <w:rFonts w:asciiTheme="majorHAnsi" w:hAnsiTheme="majorHAnsi"/>
        </w:rPr>
        <w:fldChar w:fldCharType="end"/>
      </w:r>
    </w:p>
  </w:footnote>
  <w:footnote w:id="22">
    <w:p w14:paraId="27987627" w14:textId="523BD0AB" w:rsidR="00B74BAD" w:rsidRPr="00745360" w:rsidRDefault="00B74BAD"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A46601" w:rsidRPr="00745360">
        <w:rPr>
          <w:rFonts w:asciiTheme="majorHAnsi" w:hAnsiTheme="majorHAnsi"/>
        </w:rPr>
        <w:instrText>ADDIN CSL_CITATION {"citationItems":[{"id":"ITEM-1","itemData":{"DOI":"10.31078/consrev1122","ISSN":"2548-3870","abstract":"This article is about rights to legal defense by using customary justice as part of human rights. Given the context of excessive exploitation over natural resources in Indonesia, indigenous people’s livelihood has been constantly deprived. Even, there have been laws and its policies influencing their cultural knowledge, traditions, and its social lives (Bedner and Arizona 2019). In a landmark ruling, Indonesia’s Constitutional Court through the verdict Number 35/PUU-X/2012 has invalidated the Indonesian government’s claim to millions of hectares of forest land, potentially giving indigenous and local communities the right to manage their customary forests. However, although the court ruling does not automatically change the situation at ground, the cultural expertise has played important role to shape ideas in recognizing progressively their expertise before the court system. This article dissects the role of cultural expertise has been translated into the court rules and influence to the practice, understanding debates and practices of cultural expertise, and assessing constitutional court decisions which contradict to 2013’s landmark decision and understanding the meaning for social justice. Using an interdisciplinary study of law, this article found that locals are rarely deemed as expert at court while the cultural expertise has been used to underpin their claims mostly over natural resources conflict cases. Really unfortunate that their expertise does not automatically protect rights and social justice due to lack of capacity, political economy driven policies, and various vested interests.","author":[{"dropping-particle":"","family":"Herlambang P. Wiratraman","given":"","non-dropping-particle":"","parse-names":false,"suffix":""}],"container-title":"Constitutional Review","id":"ITEM-1","issue":"2","issued":{"date-parts":[["2025","12","31"]]},"page":"299-339","title":"Cultural Expertise and the Social Justice Defense of Indigenous Peoples Rights in the Indonesian Constitutional Court","type":"article-journal","volume":"11"},"uris":["http://www.mendeley.com/documents/?uuid=082428b5-8ac9-4997-a415-5abac2ca552e"]}],"mendeley":{"formattedCitation":"Herlambang P. Wiratraman, “Cultural Expertise and the Social Justice Defense of Indigenous Peoples Rights in the Indonesian Constitutional Court,” &lt;i&gt;Constitutional Review&lt;/i&gt; 11, no. 2 (December 31, 2025): 299–339, https://doi.org/10.31078/consrev1122.","plainTextFormattedCitation":"Herlambang P. Wiratraman, “Cultural Expertise and the Social Justice Defense of Indigenous Peoples Rights in the Indonesian Constitutional Court,” Constitutional Review 11, no. 2 (December 31, 2025): 299–339, https://doi.org/10.31078/consrev1122.","previouslyFormattedCitation":"Herlambang P. Wiratraman, “Cultural Expertise and the Social Justice Defense of Indigenous Peoples Rights in the Indonesian Constitutional Court,” &lt;i&gt;Constitutional Review&lt;/i&gt; 11, no. 2 (December 31, 2025): 299–339, https://doi.org/10.31078/consrev1122."},"properties":{"noteIndex":22},"schema":"https://github.com/citation-style-language/schema/raw/master/csl-citation.json"}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Herlambang P. Wiratraman, “Cultural Expertise and the Social Justice Defense of Indigenous Peoples Rights in the Indonesian Constitutional Court,” </w:t>
      </w:r>
      <w:r w:rsidRPr="00745360">
        <w:rPr>
          <w:rFonts w:asciiTheme="majorHAnsi" w:hAnsiTheme="majorHAnsi"/>
          <w:i/>
          <w:noProof/>
        </w:rPr>
        <w:t>Constitutional Review</w:t>
      </w:r>
      <w:r w:rsidRPr="00745360">
        <w:rPr>
          <w:rFonts w:asciiTheme="majorHAnsi" w:hAnsiTheme="majorHAnsi"/>
          <w:noProof/>
        </w:rPr>
        <w:t xml:space="preserve"> 11, no. 2 (December 31, 2025): 299–339, https://doi.org/10.31078/consrev1122.</w:t>
      </w:r>
      <w:r w:rsidRPr="00745360">
        <w:rPr>
          <w:rFonts w:asciiTheme="majorHAnsi" w:hAnsiTheme="majorHAnsi"/>
        </w:rPr>
        <w:fldChar w:fldCharType="end"/>
      </w:r>
    </w:p>
  </w:footnote>
  <w:footnote w:id="23">
    <w:p w14:paraId="62DB1AC9" w14:textId="66EE9C3A" w:rsidR="00A46601" w:rsidRPr="00745360" w:rsidRDefault="00A46601"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484F2C" w:rsidRPr="00745360">
        <w:rPr>
          <w:rFonts w:asciiTheme="majorHAnsi" w:hAnsiTheme="majorHAnsi"/>
        </w:rPr>
        <w:instrText>ADDIN CSL_CITATION {"citationItems":[{"id":"ITEM-1","itemData":{"DOI":"10.1080/14442213.2019.1670246;CSUBTYPE:STRING:SPECIAL;PAGE:STRING:ARTICLE/CHAPTER","ISSN":"17409314","abstract":"At present the contestation of the Indonesian state’s dispossessory policies regarding land and other natural resources is dominated by a discourse based on adat. This situation is reminiscent of the colonial period, when invoking adat was a relatively effective means of protecting Indonesians from losing their land to plantation companies supported by the Netherlands–Indies government. However, adat lost its traction when Indonesia became independent and the new state started to vigorously pursue nation building and economic expansion. Only after the end of the New Order in 1998 did civil society groups revive the adat defence against dispossession. This article analyses current debates and developments concerning the place of adat in national land law and its potential for protecting communities against dispossession of their land by the Indonesian state. We argue that the promotion of adat has produced few concrete results and that it is unlikely to be more successful for this purpose in the future. Given Indonesia’s current social and political realities, any land rights strategy for protecting people against dispossession that is based on indigeneity is problematic, and alternative approaches are needed.","author":[{"dropping-particle":"","family":"Bedner","given":"Adriaan","non-dropping-particle":"","parse-names":false,"suffix":""},{"dropping-particle":"","family":"Arizona","given":"Yance","non-dropping-particle":"","parse-names":false,"suffix":""}],"container-title":"Asia Pacific Journal of Anthropology","id":"ITEM-1","issue":"5","issued":{"date-parts":[["2019","10","20"]]},"page":"416-434","publisher":"Routledge","title":"Adat in Indonesian Land Law: A Promise for the Future or a Dead End?","type":"article-journal","volume":"20"},"uris":["http://www.mendeley.com/documents/?uuid=51a600f3-87b0-3d1e-8fc7-7718acc78496"]}],"mendeley":{"formattedCitation":"Adriaan Bedner and Yance Arizona, “Adat in Indonesian Land Law: A Promise for the Future or a Dead End?,” &lt;i&gt;Asia Pacific Journal of Anthropology&lt;/i&gt; 20, no. 5 (October 20, 2019): 416–34, https://doi.org/10.1080/14442213.2019.1670246;CSUBTYPE:STRING:SPECIAL;PAGE:STRING:ARTICLE/CHAPTER.","plainTextFormattedCitation":"Adriaan Bedner and Yance Arizona, “Adat in Indonesian Land Law: A Promise for the Future or a Dead End?,” Asia Pacific Journal of Anthropology 20, no. 5 (October 20, 2019): 416–34, https://doi.org/10.1080/14442213.2019.1670246;CSUBTYPE:STRING:SPECIAL;PAGE:STRING:ARTICLE/CHAPTER.","previouslyFormattedCitation":"Adriaan Bedner and Yance Arizona, “Adat in Indonesian Land Law: A Promise for the Future or a Dead End?,” &lt;i&gt;Asia Pacific Journal of Anthropology&lt;/i&gt; 20, no. 5 (October 20, 2019): 416–34, https://doi.org/10.1080/14442213.2019.1670246;CSUBTYPE:STRING:SPECIAL;PAGE:STRING:ARTICLE/CHAPTER."},"properties":{"noteIndex":23},"schema":"https://github.com/citation-style-language/schema/raw/master/csl-citation.json"}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Adriaan Bedner and Yance Arizona, “Adat in Indonesian Land Law: A Promise for the Future or a Dead End?,” </w:t>
      </w:r>
      <w:r w:rsidRPr="00745360">
        <w:rPr>
          <w:rFonts w:asciiTheme="majorHAnsi" w:hAnsiTheme="majorHAnsi"/>
          <w:i/>
          <w:noProof/>
        </w:rPr>
        <w:t>Asia Pacific Journal of Anthropology</w:t>
      </w:r>
      <w:r w:rsidRPr="00745360">
        <w:rPr>
          <w:rFonts w:asciiTheme="majorHAnsi" w:hAnsiTheme="majorHAnsi"/>
          <w:noProof/>
        </w:rPr>
        <w:t xml:space="preserve"> 20, no. 5 (October 20, 2019): 416–34, https://doi.org/10.1080/14442213.2019.1670246;CSUBTYPE:STRING:SPECIAL;PAGE:STRING:ARTICLE/CHAPTER.</w:t>
      </w:r>
      <w:r w:rsidRPr="00745360">
        <w:rPr>
          <w:rFonts w:asciiTheme="majorHAnsi" w:hAnsiTheme="majorHAnsi"/>
        </w:rPr>
        <w:fldChar w:fldCharType="end"/>
      </w:r>
    </w:p>
  </w:footnote>
  <w:footnote w:id="24">
    <w:p w14:paraId="7591AEBB" w14:textId="680FE255" w:rsidR="00484F2C" w:rsidRPr="00745360" w:rsidRDefault="00484F2C"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476D26" w:rsidRPr="00745360">
        <w:rPr>
          <w:rFonts w:asciiTheme="majorHAnsi" w:hAnsiTheme="majorHAnsi"/>
        </w:rPr>
        <w:instrText>ADDIN CSL_CITATION {"citationItems":[{"id":"ITEM-1","itemData":{"DOI":"10.1177/1177180121994681","ISSN":"1177-1801","abstract":"It is worth recalling that the struggle of indigenous peoples to be recognised as “peoples” in true sense was at the forefront of their journey from an object to subject of international law. One of the most pressing concerns in their struggle was crafting their own sovereign space. The article aims to embrace and comprehend the concept of “indigenous sovereignty.” It argues that indigenous sovereignty may not have fixed contour, but it essentially confronts the idea of “empire of uniformity.” It is a source from which right to self-determination stems out and challenges the political and moral authority of States controlling indigenous population within their territory.","author":[{"dropping-particle":"","family":"Shrinkhal","given":"Rashwet","non-dropping-particle":"","parse-names":false,"suffix":""}],"container-title":"AlterNative: An International Journal of Indigenous Peoples","id":"ITEM-1","issue":"1","issued":{"date-parts":[["2021","3","15"]]},"page":"71-82","title":"\"Indigenous sovereignty” and right to self-determination in international law: a critical appraisal","type":"article-journal","volume":"17"},"uris":["http://www.mendeley.com/documents/?uuid=d787f9e1-edc1-4af5-b763-da235bcd1c8c"]}],"mendeley":{"formattedCitation":"Rashwet Shrinkhal, “\"Indigenous Sovereignty” and Right to Self-Determination in International Law: A Critical Appraisal,” &lt;i&gt;AlterNative: An International Journal of Indigenous Peoples&lt;/i&gt; 17, no. 1 (March 15, 2021): 71–82, https://doi.org/10.1177/1177180121994681.","plainTextFormattedCitation":"Rashwet Shrinkhal, “\"Indigenous Sovereignty” and Right to Self-Determination in International Law: A Critical Appraisal,” AlterNative: An International Journal of Indigenous Peoples 17, no. 1 (March 15, 2021): 71–82, https://doi.org/10.1177/1177180121994681.","previouslyFormattedCitation":"Rashwet Shrinkhal, “\"Indigenous Sovereignty” and Right to Self-Determination in International Law: A Critical Appraisal,” &lt;i&gt;AlterNative: An International Journal of Indigenous Peoples&lt;/i&gt; 17, no. 1 (March 15, 2021): 71–82, https://doi.org/10.1177/1177180121994681."},"properties":{"noteIndex":24},"schema":"https://github.com/citation-style-language/schema/raw/master/csl-citation.json"}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Rashwet Shrinkhal, “"Indigenous Sovereignty” and Right to Self-Determination in International Law: A Critical Appraisal,” </w:t>
      </w:r>
      <w:r w:rsidRPr="00745360">
        <w:rPr>
          <w:rFonts w:asciiTheme="majorHAnsi" w:hAnsiTheme="majorHAnsi"/>
          <w:i/>
          <w:noProof/>
        </w:rPr>
        <w:t>AlterNative: An International Journal of Indigenous Peoples</w:t>
      </w:r>
      <w:r w:rsidRPr="00745360">
        <w:rPr>
          <w:rFonts w:asciiTheme="majorHAnsi" w:hAnsiTheme="majorHAnsi"/>
          <w:noProof/>
        </w:rPr>
        <w:t xml:space="preserve"> 17, no. 1 (March 15, 2021): 71–82, https://doi.org/10.1177/1177180121994681.</w:t>
      </w:r>
      <w:r w:rsidRPr="00745360">
        <w:rPr>
          <w:rFonts w:asciiTheme="majorHAnsi" w:hAnsiTheme="majorHAnsi"/>
        </w:rPr>
        <w:fldChar w:fldCharType="end"/>
      </w:r>
    </w:p>
  </w:footnote>
  <w:footnote w:id="25">
    <w:p w14:paraId="54C1AC18" w14:textId="51EDA8E5" w:rsidR="00476D26" w:rsidRPr="00745360" w:rsidRDefault="00476D26"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C41FFA" w:rsidRPr="00745360">
        <w:rPr>
          <w:rFonts w:asciiTheme="majorHAnsi" w:hAnsiTheme="majorHAnsi"/>
        </w:rPr>
        <w:instrText>ADDIN CSL_CITATION {"citationItems":[{"id":"ITEM-1","itemData":{"DOI":"10.4324/9781315114644","ISBN":"9781315114644","author":[{"dropping-particle":"","family":"Berkes","given":"Fikret","non-dropping-particle":"","parse-names":false,"suffix":""}],"id":"ITEM-1","issued":{"date-parts":[["2017","9","1"]]},"publisher":"Routledge","publisher-place":"New York","title":"Sacred Ecology","type":"book"},"uris":["http://www.mendeley.com/documents/?uuid=16f0aaf4-ed5c-4abd-8b53-722844b7f6be"]}],"mendeley":{"formattedCitation":"Fikret Berkes, &lt;i&gt;Sacred Ecology&lt;/i&gt; (New York: Routledge, 2017), https://doi.org/10.4324/9781315114644.","plainTextFormattedCitation":"Fikret Berkes, Sacred Ecology (New York: Routledge, 2017), https://doi.org/10.4324/9781315114644.","previouslyFormattedCitation":"Fikret Berkes, &lt;i&gt;Sacred Ecology&lt;/i&gt; (New York: Routledge, 2017), https://doi.org/10.4324/9781315114644."},"properties":{"noteIndex":25},"schema":"https://github.com/citation-style-language/schema/raw/master/csl-citation.json"}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Fikret Berkes, </w:t>
      </w:r>
      <w:r w:rsidRPr="00745360">
        <w:rPr>
          <w:rFonts w:asciiTheme="majorHAnsi" w:hAnsiTheme="majorHAnsi"/>
          <w:i/>
          <w:noProof/>
        </w:rPr>
        <w:t>Sacred Ecology</w:t>
      </w:r>
      <w:r w:rsidRPr="00745360">
        <w:rPr>
          <w:rFonts w:asciiTheme="majorHAnsi" w:hAnsiTheme="majorHAnsi"/>
          <w:noProof/>
        </w:rPr>
        <w:t xml:space="preserve"> (New York: Routledge, 2017), https://doi.org/10.4324/9781315114644.</w:t>
      </w:r>
      <w:r w:rsidRPr="00745360">
        <w:rPr>
          <w:rFonts w:asciiTheme="majorHAnsi" w:hAnsiTheme="majorHAnsi"/>
        </w:rPr>
        <w:fldChar w:fldCharType="end"/>
      </w:r>
    </w:p>
  </w:footnote>
  <w:footnote w:id="26">
    <w:p w14:paraId="481BB442" w14:textId="609F62C0" w:rsidR="00C41FFA" w:rsidRPr="00745360" w:rsidRDefault="00C41FFA"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9E5AA1" w:rsidRPr="00745360">
        <w:rPr>
          <w:rFonts w:asciiTheme="majorHAnsi" w:hAnsiTheme="majorHAnsi"/>
        </w:rPr>
        <w:instrText>ADDIN CSL_CITATION {"citationItems":[{"id":"ITEM-1","itemData":{"DOI":"10.1016/j.forpol.2020.102268","ISSN":"13899341","author":[{"dropping-particle":"","family":"Xu","given":"Tuoyuan","non-dropping-particle":"","parse-names":false,"suffix":""},{"dropping-particle":"","family":"Zhang","given":"Xiaoxiao","non-dropping-particle":"","parse-names":false,"suffix":""},{"dropping-particle":"","family":"Agrawal","given":"Arun","non-dropping-particle":"","parse-names":false,"suffix":""},{"dropping-particle":"","family":"Liu","given":"Jinlong","non-dropping-particle":"","parse-names":false,"suffix":""}],"container-title":"Forest Policy and Economics","id":"ITEM-1","issued":{"date-parts":[["2020","10"]]},"page":"102268","title":"Decentralizing while centralizing: An explanation of China's collective forestry reform since the 1980s","type":"article-journal","volume":"119"},"uris":["http://www.mendeley.com/documents/?uuid=d87f1ede-1eb7-4d22-9da2-cf3ff61203c6"]}],"mendeley":{"formattedCitation":"Tuoyuan Xu et al., “Decentralizing While Centralizing: An Explanation of China’s Collective Forestry Reform since the 1980s,” &lt;i&gt;Forest Policy and Economics&lt;/i&gt; 119 (October 2020): 102268, https://doi.org/10.1016/j.forpol.2020.102268.","plainTextFormattedCitation":"Tuoyuan Xu et al., “Decentralizing While Centralizing: An Explanation of China’s Collective Forestry Reform since the 1980s,” Forest Policy and Economics 119 (October 2020): 102268, https://doi.org/10.1016/j.forpol.2020.102268.","previouslyFormattedCitation":"Tuoyuan Xu et al., “Decentralizing While Centralizing: An Explanation of China’s Collective Forestry Reform since the 1980s,” &lt;i&gt;Forest Policy and Economics&lt;/i&gt; 119 (October 2020): 102268, https://doi.org/10.1016/j.forpol.2020.102268."},"properties":{"noteIndex":26},"schema":"https://github.com/citation-style-language/schema/raw/master/csl-citation.json"}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Tuoyuan Xu et al., “Decentralizing While Centralizing: An Explanation of China’s Collective Forestry Reform since the 1980s,” </w:t>
      </w:r>
      <w:r w:rsidRPr="00745360">
        <w:rPr>
          <w:rFonts w:asciiTheme="majorHAnsi" w:hAnsiTheme="majorHAnsi"/>
          <w:i/>
          <w:noProof/>
        </w:rPr>
        <w:t>Forest Policy and Economics</w:t>
      </w:r>
      <w:r w:rsidRPr="00745360">
        <w:rPr>
          <w:rFonts w:asciiTheme="majorHAnsi" w:hAnsiTheme="majorHAnsi"/>
          <w:noProof/>
        </w:rPr>
        <w:t xml:space="preserve"> 119 (October 2020): 102268, https://doi.org/10.1016/j.forpol.2020.102268.</w:t>
      </w:r>
      <w:r w:rsidRPr="00745360">
        <w:rPr>
          <w:rFonts w:asciiTheme="majorHAnsi" w:hAnsiTheme="majorHAnsi"/>
        </w:rPr>
        <w:fldChar w:fldCharType="end"/>
      </w:r>
    </w:p>
  </w:footnote>
  <w:footnote w:id="27">
    <w:p w14:paraId="48AC5A37" w14:textId="01C51C9D" w:rsidR="009E5AA1" w:rsidRPr="00745360" w:rsidRDefault="009E5AA1"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B15C3B" w:rsidRPr="00745360">
        <w:rPr>
          <w:rFonts w:asciiTheme="majorHAnsi" w:hAnsiTheme="majorHAnsi"/>
        </w:rPr>
        <w:instrText>ADDIN CSL_CITATION {"citationItems":[{"id":"ITEM-1","itemData":{"DOI":"10.3389/fpos.2025.1601480","ISSN":"2673-3145","author":[{"dropping-particle":"","family":"Karso","given":"A. Junaedi","non-dropping-particle":"","parse-names":false,"suffix":""}],"container-title":"Frontiers in Political Science","id":"ITEM-1","issued":{"date-parts":[["2025","11","13"]]},"title":"Natural resources governance and the vulnerability of indigenous communities in Indonesia","type":"article-journal","volume":"7"},"uris":["http://www.mendeley.com/documents/?uuid=97c32fd6-c50b-443e-b6a3-eedfe7e6a3e3"]}],"mendeley":{"formattedCitation":"A. Junaedi Karso, “Natural Resources Governance and the Vulnerability of Indigenous Communities in Indonesia,” &lt;i&gt;Frontiers in Political Science&lt;/i&gt; 7 (November 13, 2025), https://doi.org/10.3389/fpos.2025.1601480.","plainTextFormattedCitation":"A. Junaedi Karso, “Natural Resources Governance and the Vulnerability of Indigenous Communities in Indonesia,” Frontiers in Political Science 7 (November 13, 2025), https://doi.org/10.3389/fpos.2025.1601480.","previouslyFormattedCitation":"A. Junaedi Karso, “Natural Resources Governance and the Vulnerability of Indigenous Communities in Indonesia,” &lt;i&gt;Frontiers in Political Science&lt;/i&gt; 7 (November 13, 2025), https://doi.org/10.3389/fpos.2025.1601480."},"properties":{"noteIndex":27},"schema":"https://github.com/citation-style-language/schema/raw/master/csl-citation.json"}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A. Junaedi Karso, “Natural Resources Governance and the Vulnerability of Indigenous Communities in Indonesia,” </w:t>
      </w:r>
      <w:r w:rsidRPr="00745360">
        <w:rPr>
          <w:rFonts w:asciiTheme="majorHAnsi" w:hAnsiTheme="majorHAnsi"/>
          <w:i/>
          <w:noProof/>
        </w:rPr>
        <w:t>Frontiers in Political Science</w:t>
      </w:r>
      <w:r w:rsidRPr="00745360">
        <w:rPr>
          <w:rFonts w:asciiTheme="majorHAnsi" w:hAnsiTheme="majorHAnsi"/>
          <w:noProof/>
        </w:rPr>
        <w:t xml:space="preserve"> 7 (November 13, 2025), https://doi.org/10.3389/fpos.2025.1601480.</w:t>
      </w:r>
      <w:r w:rsidRPr="00745360">
        <w:rPr>
          <w:rFonts w:asciiTheme="majorHAnsi" w:hAnsiTheme="majorHAnsi"/>
        </w:rPr>
        <w:fldChar w:fldCharType="end"/>
      </w:r>
    </w:p>
  </w:footnote>
  <w:footnote w:id="28">
    <w:p w14:paraId="54329571" w14:textId="0C2DA5D5" w:rsidR="00B15C3B" w:rsidRPr="00745360" w:rsidRDefault="00B15C3B"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3D518F" w:rsidRPr="00745360">
        <w:rPr>
          <w:rFonts w:asciiTheme="majorHAnsi" w:hAnsiTheme="majorHAnsi"/>
        </w:rPr>
        <w:instrText>ADDIN CSL_CITATION {"citationItems":[{"id":"ITEM-1","itemData":{"DOI":"10.3389/fpos.2025.1601480","ISSN":"2673-3145","author":[{"dropping-particle":"","family":"Karso","given":"A. Junaedi","non-dropping-particle":"","parse-names":false,"suffix":""}],"container-title":"Frontiers in Political Science","id":"ITEM-1","issued":{"date-parts":[["2025","11","13"]]},"title":"Natural resources governance and the vulnerability of indigenous communities in Indonesia","type":"article-journal","volume":"7"},"uris":["http://www.mendeley.com/documents/?uuid=97c32fd6-c50b-443e-b6a3-eedfe7e6a3e3"]}],"mendeley":{"formattedCitation":"Karso.","plainTextFormattedCitation":"Karso.","previouslyFormattedCitation":"Karso."},"properties":{"noteIndex":28},"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Karso.</w:t>
      </w:r>
      <w:r w:rsidRPr="00745360">
        <w:rPr>
          <w:rFonts w:asciiTheme="majorHAnsi" w:hAnsiTheme="majorHAnsi"/>
        </w:rPr>
        <w:fldChar w:fldCharType="end"/>
      </w:r>
    </w:p>
  </w:footnote>
  <w:footnote w:id="29">
    <w:p w14:paraId="5480FAA7" w14:textId="3240222F" w:rsidR="003D518F" w:rsidRPr="00745360" w:rsidRDefault="003D518F"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6E3A58" w:rsidRPr="00745360">
        <w:rPr>
          <w:rFonts w:asciiTheme="majorHAnsi" w:hAnsiTheme="majorHAnsi"/>
        </w:rPr>
        <w:instrText>ADDIN CSL_CITATION {"citationItems":[{"id":"ITEM-1","itemData":{"DOI":"10.1016/j.exis.2018.11.003","ISSN":"2214790X","author":[{"dropping-particle":"","family":"Sangaramoorthy","given":"Thurka","non-dropping-particle":"","parse-names":false,"suffix":""}],"container-title":"The Extractive Industries and Society","id":"ITEM-1","issue":"2","issued":{"date-parts":[["2019","4"]]},"page":"463-470","title":"Maryland is not for Shale: Scientific and public anxieties of predicting health impacts of fracking","type":"article-journal","volume":"6"},"uris":["http://www.mendeley.com/documents/?uuid=c0fa3eef-edd6-4a0d-bb3d-5a306b15c88e"]}],"mendeley":{"formattedCitation":"Thurka Sangaramoorthy, “Maryland Is Not for Shale: Scientific and Public Anxieties of Predicting Health Impacts of Fracking,” &lt;i&gt;The Extractive Industries and Society&lt;/i&gt; 6, no. 2 (April 2019): 463–70, https://doi.org/10.1016/j.exis.2018.11.003.","plainTextFormattedCitation":"Thurka Sangaramoorthy, “Maryland Is Not for Shale: Scientific and Public Anxieties of Predicting Health Impacts of Fracking,” The Extractive Industries and Society 6, no. 2 (April 2019): 463–70, https://doi.org/10.1016/j.exis.2018.11.003.","previouslyFormattedCitation":"Thurka Sangaramoorthy, “Maryland Is Not for Shale: Scientific and Public Anxieties of Predicting Health Impacts of Fracking,” &lt;i&gt;The Extractive Industries and Society&lt;/i&gt; 6, no. 2 (April 2019): 463–70, https://doi.org/10.1016/j.exis.2018.11.003."},"properties":{"noteIndex":29},"schema":"https://github.com/citation-style-language/schema/raw/master/csl-citation.json"}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Thurka Sangaramoorthy, “Maryland Is Not for Shale: Scientific and Public Anxieties of Predicting Health Impacts of Fracking,” </w:t>
      </w:r>
      <w:r w:rsidRPr="00745360">
        <w:rPr>
          <w:rFonts w:asciiTheme="majorHAnsi" w:hAnsiTheme="majorHAnsi"/>
          <w:i/>
          <w:noProof/>
        </w:rPr>
        <w:t>The Extractive Industries and Society</w:t>
      </w:r>
      <w:r w:rsidRPr="00745360">
        <w:rPr>
          <w:rFonts w:asciiTheme="majorHAnsi" w:hAnsiTheme="majorHAnsi"/>
          <w:noProof/>
        </w:rPr>
        <w:t xml:space="preserve"> 6, no. 2 (April 2019): 463–70, https://doi.org/10.1016/j.exis.2018.11.003.</w:t>
      </w:r>
      <w:r w:rsidRPr="00745360">
        <w:rPr>
          <w:rFonts w:asciiTheme="majorHAnsi" w:hAnsiTheme="majorHAnsi"/>
        </w:rPr>
        <w:fldChar w:fldCharType="end"/>
      </w:r>
    </w:p>
  </w:footnote>
  <w:footnote w:id="30">
    <w:p w14:paraId="613E5975" w14:textId="1A2DC3EC" w:rsidR="006E3A58" w:rsidRPr="00745360" w:rsidRDefault="006E3A58"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F61E08" w:rsidRPr="00745360">
        <w:rPr>
          <w:rFonts w:asciiTheme="majorHAnsi" w:hAnsiTheme="majorHAnsi"/>
        </w:rPr>
        <w:instrText>ADDIN CSL_CITATION {"citationItems":[{"id":"ITEM-1","itemData":{"DOI":"10.22437/home.v7i1.350","ISSN":"2598-795X","abstract":"Ensuring conformity between national laws and international law principles is crucial for states, particularly concerning the adoption of the Free, Prior, and Informed Consent (FPIC) principle to safeguard the natural resource rights of Indigenous Peoples. Numerous development initiatives proceed without indigenous consent, resulting in significant harm. Policies impacting indigenous communities should be established through prior consultation and their explicit endorsement to align with local wisdom and values. This paper explores the imperative to reevaluate the FPIC principle within legal frameworks. Using both conceptual and statutory analyses, it assesses whether FPIC constitutes a binding obligation with legal ramifications that necessitate incorporation into national law (hard law) or remains a non-binding guideline (soft law). The State’s role in implementing this principle to shield indigenous groups from detrimental development projects affecting their natural resources and cultures is scrutinized. The foundational ethos of FPIC is rooted in defending Indigenous Peoples’ entitlements to natural resources. Lastly, legislative recommendations are offered to define FPIC as a legal norm, ensuring legal certainty and guiding judicial decisions in upholding these rights","author":[{"dropping-particle":"","family":"Kusniati","given":"Retno","non-dropping-particle":"","parse-names":false,"suffix":""}],"container-title":"Jambe Law Journal","id":"ITEM-1","issue":"1","issued":{"date-parts":[["2024","7","30"]]},"page":"169-193","title":"Free, Prior, and Informed Consent Principles as Indigenous Peoples’ Right: Soft Law or Hard Law?","type":"article-journal","volume":"7"},"uris":["http://www.mendeley.com/documents/?uuid=cbc854ca-88d7-47c7-88a9-57c47eacddbf"]}],"mendeley":{"formattedCitation":"Retno Kusniati, “Free, Prior, and Informed Consent Principles as Indigenous Peoples’ Right: Soft Law or Hard Law?,” &lt;i&gt;Jambe Law Journal&lt;/i&gt; 7, no. 1 (July 30, 2024): 169–93, https://doi.org/10.22437/home.v7i1.350.","plainTextFormattedCitation":"Retno Kusniati, “Free, Prior, and Informed Consent Principles as Indigenous Peoples’ Right: Soft Law or Hard Law?,” Jambe Law Journal 7, no. 1 (July 30, 2024): 169–93, https://doi.org/10.22437/home.v7i1.350.","previouslyFormattedCitation":"Retno Kusniati, “Free, Prior, and Informed Consent Principles as Indigenous Peoples’ Right: Soft Law or Hard Law?,” &lt;i&gt;Jambe Law Journal&lt;/i&gt; 7, no. 1 (July 30, 2024): 169–93, https://doi.org/10.22437/home.v7i1.350."},"properties":{"noteIndex":30},"schema":"https://github.com/citation-style-language/schema/raw/master/csl-citation.json"}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Retno Kusniati, “Free, Prior, and Informed Consent Principles as Indigenous Peoples’ Right: Soft Law or Hard Law?,” </w:t>
      </w:r>
      <w:r w:rsidRPr="00745360">
        <w:rPr>
          <w:rFonts w:asciiTheme="majorHAnsi" w:hAnsiTheme="majorHAnsi"/>
          <w:i/>
          <w:noProof/>
        </w:rPr>
        <w:t>Jambe Law Journal</w:t>
      </w:r>
      <w:r w:rsidRPr="00745360">
        <w:rPr>
          <w:rFonts w:asciiTheme="majorHAnsi" w:hAnsiTheme="majorHAnsi"/>
          <w:noProof/>
        </w:rPr>
        <w:t xml:space="preserve"> 7, no. 1 (July 30, 2024): 169–93, https://doi.org/10.22437/home.v7i1.350.</w:t>
      </w:r>
      <w:r w:rsidRPr="00745360">
        <w:rPr>
          <w:rFonts w:asciiTheme="majorHAnsi" w:hAnsiTheme="majorHAnsi"/>
        </w:rPr>
        <w:fldChar w:fldCharType="end"/>
      </w:r>
    </w:p>
  </w:footnote>
  <w:footnote w:id="31">
    <w:p w14:paraId="35081537" w14:textId="4D04A1E4" w:rsidR="00F61E08" w:rsidRPr="00745360" w:rsidRDefault="00F61E08"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9C3DF7" w:rsidRPr="00745360">
        <w:rPr>
          <w:rFonts w:asciiTheme="majorHAnsi" w:hAnsiTheme="majorHAnsi"/>
        </w:rPr>
        <w:instrText>ADDIN CSL_CITATION {"citationItems":[{"id":"ITEM-1","itemData":{"DOI":"10.25041/cepalo.v10no1.4899","ISSN":"2598-3105","abstract":"Agrarian conflicts resulting from mining permits issued without the consent of local and indigenous communities expose a legitimacy gap in Indonesia’s mining legal regime. Unequal power relations between land rights holders and IUP holders reveal structural weaknesses in the protection of collective rights. This study identifies the absence of Free, Prior, and Informed Consent (FPIC) as a core deficiency that undermines substantive justice and meaningful participation in natural resource governance. Using a normative legal approach and conceptual analysis of relevant legal instruments, the study critically examines national regulations that remain procedural, transactional, and detached from community participation. The findings show that integrating FPIC is not merely a technical adjustment, but a legal, ethical, and social necessity to shift mining governance from a licensing-based to a consent-based regime. The study contributes academically by proposing mining law reform grounded in collective rights recognition, the creation of an independent FPIC verification body, and the repositioning of communities as legal subjects of development. These findings carry important implications for legal reform oriented toward environmental justice, social legitimacy, and the sustainability of mining investment in Indonesia.","author":[{"dropping-particle":"","family":"Dedihasriadi","given":"La Ode","non-dropping-particle":"","parse-names":false,"suffix":""},{"dropping-particle":"","family":"Ananda","given":"Adhe Ismail","non-dropping-particle":"","parse-names":false,"suffix":""},{"dropping-particle":"","family":"Sugiharti","given":"Dewi Kania","non-dropping-particle":"","parse-names":false,"suffix":""},{"dropping-particle":"","family":"Baskhoro","given":"Arie Ekawie","non-dropping-particle":"","parse-names":false,"suffix":""},{"dropping-particle":"","family":"Hasgar A.S","given":"A. Muhammad","non-dropping-particle":"","parse-names":false,"suffix":""}],"container-title":"Cepalo","id":"ITEM-1","issue":"1","issued":{"date-parts":[["2026","1","26"]]},"page":"1-12","title":"Strengthening Indigenous Peoples’ Rights: Integrating The Fpic Principle Into Indonesia's Mining Legal Framework","type":"article-journal","volume":"10"},"uris":["http://www.mendeley.com/documents/?uuid=19f39f26-8cc9-4dae-9bfa-f5e721abb5d0"]}],"mendeley":{"formattedCitation":"La Ode Dedihasriadi et al., “Strengthening Indigenous Peoples’ Rights: Integrating The Fpic Principle Into Indonesia’s Mining Legal Framework,” &lt;i&gt;Cepalo&lt;/i&gt; 10, no. 1 (January 26, 2026): 1–12, https://doi.org/10.25041/cepalo.v10no1.4899.","plainTextFormattedCitation":"La Ode Dedihasriadi et al., “Strengthening Indigenous Peoples’ Rights: Integrating The Fpic Principle Into Indonesia’s Mining Legal Framework,” Cepalo 10, no. 1 (January 26, 2026): 1–12, https://doi.org/10.25041/cepalo.v10no1.4899.","previouslyFormattedCitation":"La Ode Dedihasriadi et al., “Strengthening Indigenous Peoples’ Rights: Integrating The Fpic Principle Into Indonesia’s Mining Legal Framework,” &lt;i&gt;Cepalo&lt;/i&gt; 10, no. 1 (January 26, 2026): 1–12, https://doi.org/10.25041/cepalo.v10no1.4899."},"properties":{"noteIndex":31},"schema":"https://github.com/citation-style-language/schema/raw/master/csl-citation.json"}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La Ode Dedihasriadi et al., “Strengthening Indigenous Peoples’ Rights: Integrating The Fpic Principle Into Indonesia’s Mining Legal Framework,” </w:t>
      </w:r>
      <w:r w:rsidRPr="00745360">
        <w:rPr>
          <w:rFonts w:asciiTheme="majorHAnsi" w:hAnsiTheme="majorHAnsi"/>
          <w:i/>
          <w:noProof/>
        </w:rPr>
        <w:t>Cepalo</w:t>
      </w:r>
      <w:r w:rsidRPr="00745360">
        <w:rPr>
          <w:rFonts w:asciiTheme="majorHAnsi" w:hAnsiTheme="majorHAnsi"/>
          <w:noProof/>
        </w:rPr>
        <w:t xml:space="preserve"> 10, no. 1 (January 26, 2026): 1–12, https://doi.org/10.25041/cepalo.v10no1.4899.</w:t>
      </w:r>
      <w:r w:rsidRPr="00745360">
        <w:rPr>
          <w:rFonts w:asciiTheme="majorHAnsi" w:hAnsiTheme="majorHAnsi"/>
        </w:rPr>
        <w:fldChar w:fldCharType="end"/>
      </w:r>
    </w:p>
  </w:footnote>
  <w:footnote w:id="32">
    <w:p w14:paraId="17168DAF" w14:textId="185EF5A0" w:rsidR="009C3DF7" w:rsidRPr="00745360" w:rsidRDefault="009C3DF7"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8232A6" w:rsidRPr="00745360">
        <w:rPr>
          <w:rFonts w:asciiTheme="majorHAnsi" w:hAnsiTheme="majorHAnsi"/>
        </w:rPr>
        <w:instrText>ADDIN CSL_CITATION {"citationItems":[{"id":"ITEM-1","itemData":{"DOI":"10.51903/t8hwbv11","ISSN":"2987-7539","abstract":"This study investigates the role of customary law in natural resource governance with a specific focus on strengthening the rights of Indigenous communities in Eastern Indonesia. The background of this research lies in the marginalization of customary law amid state-centered legal frameworks and the expansion of extractive industries, which often neglect Indigenous environmental stewardship. Using a qualitative case study approach, this research explores two Indigenous communities through in-depth interviews, participatory observation, and document analysis. The study identifies seven major themes—including traditional ecological practices, legal legitimacy, and institutional collaboration—based on thematic coding of 42 interview transcripts. Findings reveal that customary law serves as a culturally embedded regulatory system that effectively preserves biodiversity and maintains social harmony. In regions where formal recognition of customary land rights exists, communities demonstrate stronger environmental governance and reduced conflict. Conversely, areas lacking formal legal acknowledgment face greater legal uncertainty and ecological degradation due to state-imposed concessions. The study highlights the need for an inclusive legal framework that integrates customary and state law to ensure environmental justice. It also contributes conceptually by offering an interdisciplinary model combining juridical and socio-legal perspectives to analyze legal pluralism. This research affirms that customary law is not static but adapts dynamically to social and political changes. As such, the recognition and institutional integration of Indigenous legal systems are essential for achieving sustainable and equitable natural resource management.","author":[{"dropping-particle":"","family":"Jaenong","given":"Dhita Puthi","non-dropping-particle":"","parse-names":false,"suffix":""},{"dropping-particle":"","family":"Ahimi","given":"Liliana Nur","non-dropping-particle":"","parse-names":false,"suffix":""},{"dropping-particle":"","family":"Zubaedillah","given":"Zubaedillah","non-dropping-particle":"","parse-names":false,"suffix":""}],"container-title":"Hakim: Jurnal Ilmu Hukum dan Sosial","id":"ITEM-1","issue":"2","issued":{"date-parts":[["2025","5","30"]]},"page":"1164-1178","title":"Customary Law and Natural Resource Governance: Strengthening Indigenous Rights in Environmental Management","type":"article-journal","volume":"3"},"uris":["http://www.mendeley.com/documents/?uuid=52057b72-d837-4511-9679-db06b1b93907"]}],"mendeley":{"formattedCitation":"Dhita Puthi Jaenong, Liliana Nur Ahimi, and Zubaedillah Zubaedillah, “Customary Law and Natural Resource Governance: Strengthening Indigenous Rights in Environmental Management,” &lt;i&gt;Hakim: Jurnal Ilmu Hukum Dan Sosial&lt;/i&gt; 3, no. 2 (May 30, 2025): 1164–78, https://doi.org/10.51903/t8hwbv11.","plainTextFormattedCitation":"Dhita Puthi Jaenong, Liliana Nur Ahimi, and Zubaedillah Zubaedillah, “Customary Law and Natural Resource Governance: Strengthening Indigenous Rights in Environmental Management,” Hakim: Jurnal Ilmu Hukum Dan Sosial 3, no. 2 (May 30, 2025): 1164–78, https://doi.org/10.51903/t8hwbv11.","previouslyFormattedCitation":"Dhita Puthi Jaenong, Liliana Nur Ahimi, and Zubaedillah Zubaedillah, “Customary Law and Natural Resource Governance: Strengthening Indigenous Rights in Environmental Management,” &lt;i&gt;Hakim: Jurnal Ilmu Hukum Dan Sosial&lt;/i&gt; 3, no. 2 (May 30, 2025): 1164–78, https://doi.org/10.51903/t8hwbv11."},"properties":{"noteIndex":32},"schema":"https://github.com/citation-style-language/schema/raw/master/csl-citation.json"}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Dhita Puthi Jaenong, Liliana Nur Ahimi, and Zubaedillah Zubaedillah, “Customary Law and Natural Resource Governance: Strengthening Indigenous Rights in Environmental Management,” </w:t>
      </w:r>
      <w:r w:rsidRPr="00745360">
        <w:rPr>
          <w:rFonts w:asciiTheme="majorHAnsi" w:hAnsiTheme="majorHAnsi"/>
          <w:i/>
          <w:noProof/>
        </w:rPr>
        <w:t>Hakim: Jurnal Ilmu Hukum Dan Sosial</w:t>
      </w:r>
      <w:r w:rsidRPr="00745360">
        <w:rPr>
          <w:rFonts w:asciiTheme="majorHAnsi" w:hAnsiTheme="majorHAnsi"/>
          <w:noProof/>
        </w:rPr>
        <w:t xml:space="preserve"> 3, no. 2 (May 30, 2025): 1164–78, https://doi.org/10.51903/t8hwbv11.</w:t>
      </w:r>
      <w:r w:rsidRPr="00745360">
        <w:rPr>
          <w:rFonts w:asciiTheme="majorHAnsi" w:hAnsiTheme="majorHAnsi"/>
        </w:rPr>
        <w:fldChar w:fldCharType="end"/>
      </w:r>
    </w:p>
  </w:footnote>
  <w:footnote w:id="33">
    <w:p w14:paraId="5AF83C98" w14:textId="5AB67DB4" w:rsidR="008232A6" w:rsidRPr="00745360" w:rsidRDefault="008232A6"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5D40C3" w:rsidRPr="00745360">
        <w:rPr>
          <w:rFonts w:asciiTheme="majorHAnsi" w:hAnsiTheme="majorHAnsi"/>
        </w:rPr>
        <w:instrText>ADDIN CSL_CITATION {"citationItems":[{"id":"ITEM-1","itemData":{"DOI":"10.33506/js.v11i3.4601","ISSN":"2686-0821","abstract":"This study aims to examine the threat of green grabbing in the implementation of Law No. 32 of 2024 concerning Natural Resource and Ecosystem Management, with a focus on its impact on land tenure by indigenous peoples and environmental governance. This study uses normative legal research methods by analyzing legislation, international legal instruments, and related academic literature. A doctrinal approach is applied to assess the alignment between the normative ideals of the law and the practical implications of Law No. 32 of 2024, particularly those related to the recognition of customary land rights and environmental management involving indigenous peoples. The novelty of this research lies in its critical assessment of the conservation framework as a potential instrument for land grabbing legalized by the state in the era after the enactment of Law Number 32 of 2024. This research highlights the tension between the goals of ecological preservation and the protection of indigenous peoples' rights, which are often neglected in the implementation of conservation policies. The results of the study show that although Law No. 32 of 2024 contains progressive principles such as community participation and recognition of indigenous peoples, its implementation remains weak. This is reflected in the lack of adequate recognition of customary land rights and the weak application of the Free, Prior, and Informed Consent (FPIC) procedure, which opens up opportunities for the misuse of conservation policies as a pretext for land grabbing. This study concludes that the effectiveness of Law No. 32 of 2024 depends on the establishment of clear technical regulations, strong protection mechanisms for customary territories, and integrative agrarian reform. To prevent conservation policies from becoming a justification for land grabbing, indigenous communities must be recognized not only as affected parties but as key stakeholders in natural resource management.","author":[{"dropping-particle":"","family":"Mandala","given":"Maulana Hendra","non-dropping-particle":"","parse-names":false,"suffix":""},{"dropping-particle":"","family":"Muryani","given":"Maria Ana","non-dropping-particle":"","parse-names":false,"suffix":""},{"dropping-particle":"","family":"Rofiq","given":"M.Khoirur","non-dropping-particle":"","parse-names":false,"suffix":""}],"container-title":"JUSTISI","id":"ITEM-1","issue":"3","issued":{"date-parts":[["2025","9","6"]]},"page":"874-888","title":"The Threat of Green Grabbing to Indigenous Peoples’ Rights in the Implementation of Law Number 32 of 2024","type":"article-journal","volume":"11"},"uris":["http://www.mendeley.com/documents/?uuid=a29b4258-7683-4487-8271-a1f42a287d24"]}],"mendeley":{"formattedCitation":"Maulana Hendra Mandala, Maria Ana Muryani, and M.Khoirur Rofiq, “The Threat of Green Grabbing to Indigenous Peoples’ Rights in the Implementation of Law Number 32 of 2024,” &lt;i&gt;JUSTISI&lt;/i&gt; 11, no. 3 (September 6, 2025): 874–88, https://doi.org/10.33506/js.v11i3.4601.","plainTextFormattedCitation":"Maulana Hendra Mandala, Maria Ana Muryani, and M.Khoirur Rofiq, “The Threat of Green Grabbing to Indigenous Peoples’ Rights in the Implementation of Law Number 32 of 2024,” JUSTISI 11, no. 3 (September 6, 2025): 874–88, https://doi.org/10.33506/js.v11i3.4601.","previouslyFormattedCitation":"Maulana Hendra Mandala, Maria Ana Muryani, and M.Khoirur Rofiq, “The Threat of Green Grabbing to Indigenous Peoples’ Rights in the Implementation of Law Number 32 of 2024,” &lt;i&gt;JUSTISI&lt;/i&gt; 11, no. 3 (September 6, 2025): 874–88, https://doi.org/10.33506/js.v11i3.4601."},"properties":{"noteIndex":33},"schema":"https://github.com/citation-style-language/schema/raw/master/csl-citation.json"}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Maulana Hendra Mandala, Maria Ana Muryani, and M.Khoirur Rofiq, “The Threat of Green Grabbing to Indigenous Peoples’ Rights in the Implementation of Law Number 32 of 2024,” </w:t>
      </w:r>
      <w:r w:rsidRPr="00745360">
        <w:rPr>
          <w:rFonts w:asciiTheme="majorHAnsi" w:hAnsiTheme="majorHAnsi"/>
          <w:i/>
          <w:noProof/>
        </w:rPr>
        <w:t>JUSTISI</w:t>
      </w:r>
      <w:r w:rsidRPr="00745360">
        <w:rPr>
          <w:rFonts w:asciiTheme="majorHAnsi" w:hAnsiTheme="majorHAnsi"/>
          <w:noProof/>
        </w:rPr>
        <w:t xml:space="preserve"> 11, no. 3 (September 6, 2025): 874–88, https://doi.org/10.33506/js.v11i3.4601.</w:t>
      </w:r>
      <w:r w:rsidRPr="00745360">
        <w:rPr>
          <w:rFonts w:asciiTheme="majorHAnsi" w:hAnsiTheme="majorHAnsi"/>
        </w:rPr>
        <w:fldChar w:fldCharType="end"/>
      </w:r>
    </w:p>
  </w:footnote>
  <w:footnote w:id="34">
    <w:p w14:paraId="1056DD7C" w14:textId="6DBC513C" w:rsidR="005D40C3" w:rsidRPr="00745360" w:rsidRDefault="005D40C3"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933C27" w:rsidRPr="00745360">
        <w:rPr>
          <w:rFonts w:asciiTheme="majorHAnsi" w:hAnsiTheme="majorHAnsi"/>
        </w:rPr>
        <w:instrText>ADDIN CSL_CITATION {"citationItems":[{"id":"ITEM-1","itemData":{"DOI":"10.55016/ojs/sppp.v16i1.76089","ISSN":"2560-8320","abstract":"The proposal to create a Northern Corridor that would allow for cross-country, multi-modal infrastructure development is an ambitious vision (Sulzenko and Fellows 2016; Standing Senate Committee 2017). This proposed infrastructure corridor would incorporate multiple uses, from pipelines to railways, roads, telecommunications, electricity infrastructure and more. Its geographic scale stretches continuously from coastal B.C. across Canada to the Atlantic coast, with spurs running northward to the Arctic Ocean through the Northwest Territories, Nunavut and via Manitoba to Hudson’s Bay. A critical foundation for its successful development will be the ability to appreciate and incorporate the rights of Indigenous peoples affected by the project (Wright 2020; Newman 2022). The goal of this research paper is to outline the law of Indigenous peoples’ land ownership rights, including proven and asserted title, Crown-Indigenous treaty relations and obligations and Indigenous land claims agreements, and to consider the implications for a large-scale infrastructure project like the Northern Corridor.1 The focus is on the legaland regulatory aspects of Indigenous peoples’ land rights within the non-Indigenous Canadian legal system.2 The research paper uses standard legal methods to assess the land ownership rights of Indigenous peoples, drawing on relevant constitutional and statutory provisions, leading cases and secondary literature. The paper proceeds with a brief overview of these distinct types of Indigenous land rights, then provides a more detailed account of the legal content of s. 35 constitutional Aboriginal title, historic and modern treaty rights. This includes discussion of government’s legal duty of consultation and accommodation, and the requirements for constitutionally justified limitation of these rights. Indigenous land ownership rights in reserve lands are also discussed. A series of case studies more fully illustrates the implications of these varied Indigenous land rights for a project like the Northern Corridor. Finally, the paper turns to the dynamic nature of Indigenous rights and the potential influence of the UNDRIP. The implications of Indigenous peoples’ land rights for the proposed Northern Corridor are extensive. While many of the legal obligations fall on the Crown, as represented by provincial, territorial and federal governments, industry proponents must also play a role. Project proponents engage directly with Indigenous land-right…","author":[{"dropping-particle":"","family":"Metcalf","given":"Cherie","non-dropping-particle":"","parse-names":false,"suffix":""}],"container-title":"The School of Public Policy Publications","id":"ITEM-1","issue":"1","issued":{"date-parts":[["2023","6","21"]]},"title":"Indigenous Land Ownership and Title in Canada: Implications for a Northern Corridor","type":"article-journal","volume":"16"},"uris":["http://www.mendeley.com/documents/?uuid=fac4be63-563d-43a0-91e2-c1ae793d6663"]}],"mendeley":{"formattedCitation":"Cherie Metcalf, “Indigenous Land Ownership and Title in Canada: Implications for a Northern Corridor,” &lt;i&gt;The School of Public Policy Publications&lt;/i&gt; 16, no. 1 (June 21, 2023), https://doi.org/10.55016/ojs/sppp.v16i1.76089.","plainTextFormattedCitation":"Cherie Metcalf, “Indigenous Land Ownership and Title in Canada: Implications for a Northern Corridor,” The School of Public Policy Publications 16, no. 1 (June 21, 2023), https://doi.org/10.55016/ojs/sppp.v16i1.76089.","previouslyFormattedCitation":"Cherie Metcalf, “Indigenous Land Ownership and Title in Canada: Implications for a Northern Corridor,” &lt;i&gt;The School of Public Policy Publications&lt;/i&gt; 16, no. 1 (June 21, 2023), https://doi.org/10.55016/ojs/sppp.v16i1.76089."},"properties":{"noteIndex":34},"schema":"https://github.com/citation-style-language/schema/raw/master/csl-citation.json"}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Cherie Metcalf, “Indigenous Land Ownership and Title in Canada: Implications for a Northern Corridor,” </w:t>
      </w:r>
      <w:r w:rsidRPr="00745360">
        <w:rPr>
          <w:rFonts w:asciiTheme="majorHAnsi" w:hAnsiTheme="majorHAnsi"/>
          <w:i/>
          <w:noProof/>
        </w:rPr>
        <w:t>The School of Public Policy Publications</w:t>
      </w:r>
      <w:r w:rsidRPr="00745360">
        <w:rPr>
          <w:rFonts w:asciiTheme="majorHAnsi" w:hAnsiTheme="majorHAnsi"/>
          <w:noProof/>
        </w:rPr>
        <w:t xml:space="preserve"> 16, no. 1 (June 21, 2023), https://doi.org/10.55016/ojs/sppp.v16i1.76089.</w:t>
      </w:r>
      <w:r w:rsidRPr="00745360">
        <w:rPr>
          <w:rFonts w:asciiTheme="majorHAnsi" w:hAnsiTheme="majorHAnsi"/>
        </w:rPr>
        <w:fldChar w:fldCharType="end"/>
      </w:r>
    </w:p>
  </w:footnote>
  <w:footnote w:id="35">
    <w:p w14:paraId="51B7EE65" w14:textId="1B560696" w:rsidR="00933C27" w:rsidRPr="00745360" w:rsidRDefault="00933C27"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9D6973" w:rsidRPr="00745360">
        <w:rPr>
          <w:rFonts w:asciiTheme="majorHAnsi" w:hAnsiTheme="majorHAnsi"/>
        </w:rPr>
        <w:instrText>ADDIN CSL_CITATION {"citationItems":[{"id":"ITEM-1","itemData":{"DOI":"10.1017/S000842392000027X","ISSN":"0008-4239","abstract":"The duty to consult mandates that the Crown must consult affected Indigenous parties when Crown action may negatively impact Aboriginal rights or title claims. The Supreme Court of Canada (SCC) has emphasized that the duty should be characterized by honourable dealings and good faith negotiations. This article argues that the concept of throughput legitimacy can help evaluate the Crown's conduct in consultation. By analyzing 131 British Columbia Environmental Assessments (BC EAs), this article finds that the Crown struggles to uphold throughput legitimacy from the perspective of Indigenous peoples, particularly in the areas of transparency, accountability and effectiveness.","author":[{"dropping-particle":"","family":"Do","given":"Minh","non-dropping-particle":"","parse-names":false,"suffix":""}],"container-title":"Canadian Journal of Political Science","id":"ITEM-1","issue":"3","issued":{"date-parts":[["2020","9","28"]]},"page":"577-595","title":"Throughput Legitimacy and the Duty to Consult: The Limits of the Law to Produce Quality Interactions in British Columbia's EA Process","type":"article-journal","volume":"53"},"uris":["http://www.mendeley.com/documents/?uuid=e997d330-2fb2-43cf-932c-093fd381e47a"]}],"mendeley":{"formattedCitation":"Minh Do, “Throughput Legitimacy and the Duty to Consult: The Limits of the Law to Produce Quality Interactions in British Columbia’s EA Process,” &lt;i&gt;Canadian Journal of Political Science&lt;/i&gt; 53, no. 3 (September 28, 2020): 577–95, https://doi.org/10.1017/S000842392000027X.","plainTextFormattedCitation":"Minh Do, “Throughput Legitimacy and the Duty to Consult: The Limits of the Law to Produce Quality Interactions in British Columbia’s EA Process,” Canadian Journal of Political Science 53, no. 3 (September 28, 2020): 577–95, https://doi.org/10.1017/S000842392000027X.","previouslyFormattedCitation":"Minh Do, “Throughput Legitimacy and the Duty to Consult: The Limits of the Law to Produce Quality Interactions in British Columbia’s EA Process,” &lt;i&gt;Canadian Journal of Political Science&lt;/i&gt; 53, no. 3 (September 28, 2020): 577–95, https://doi.org/10.1017/S000842392000027X."},"properties":{"noteIndex":35},"schema":"https://github.com/citation-style-language/schema/raw/master/csl-citation.json"}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Minh Do, “Throughput Legitimacy and the Duty to Consult: The Limits of the Law to Produce Quality Interactions in British Columbia’s EA Process,” </w:t>
      </w:r>
      <w:r w:rsidRPr="00745360">
        <w:rPr>
          <w:rFonts w:asciiTheme="majorHAnsi" w:hAnsiTheme="majorHAnsi"/>
          <w:i/>
          <w:noProof/>
        </w:rPr>
        <w:t>Canadian Journal of Political Science</w:t>
      </w:r>
      <w:r w:rsidRPr="00745360">
        <w:rPr>
          <w:rFonts w:asciiTheme="majorHAnsi" w:hAnsiTheme="majorHAnsi"/>
          <w:noProof/>
        </w:rPr>
        <w:t xml:space="preserve"> 53, no. 3 (September 28, 2020): 577–95, https://doi.org/10.1017/S000842392000027X.</w:t>
      </w:r>
      <w:r w:rsidRPr="00745360">
        <w:rPr>
          <w:rFonts w:asciiTheme="majorHAnsi" w:hAnsiTheme="majorHAnsi"/>
        </w:rPr>
        <w:fldChar w:fldCharType="end"/>
      </w:r>
    </w:p>
  </w:footnote>
  <w:footnote w:id="36">
    <w:p w14:paraId="1CDB40D3" w14:textId="48BE8EAC" w:rsidR="009D6973" w:rsidRPr="00745360" w:rsidRDefault="009D6973"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A83466" w:rsidRPr="00745360">
        <w:rPr>
          <w:rFonts w:asciiTheme="majorHAnsi" w:hAnsiTheme="majorHAnsi"/>
        </w:rPr>
        <w:instrText>ADDIN CSL_CITATION {"citationItems":[{"id":"ITEM-1","itemData":{"DOI":"10.23865/arctic.v9.729","ISSN":"2387-4562","abstract":"Although the standard of consulting Indigenous peoples in decisions affecting them is well rooted internationally as well as in national legal systems, different views and patterns of problems are associated with the concept and its practice. This paper briefly analyses and contrasts the duty to consult Indigenous peoples through a comparison of the three Nordic countries Norway, Finland and Sweden, and Canada. Based on domestic legal sources, the focus of the paper is to explore the legal foundation that has given rise to the specific set of rules for the duty to consult, that is, the rationale behind the evolving of the rules. The first finding is that the rules differ among the three Nordic countries, with Sweden being the only country that lacks specific rules. Secondly, whereas Canada has developed its own duty to consult primarily through domestic case law, in the Nordic countries, duty to consult is related to international law obligations. Consultation duties that have evolved from domestic law may be easier to accept than “foreign” regulations imposed on national legal systems. This could explain the reluctance among the Nordic States to accept specific consultations with the Sami Parliament and other Sami groups, particularly in Sweden.","author":[{"dropping-particle":"","family":"Allard","given":"Christina","non-dropping-particle":"","parse-names":false,"suffix":""}],"container-title":"Arctic Review on Law and Politics","id":"ITEM-1","issued":{"date-parts":[["2018","2","9"]]},"page":"25-43","title":"The Rationale for the Duty to Consult Indigenous Peoples: Comparative Reflections from Nordic and Canadian Legal Contexts","type":"article-journal","volume":"9"},"uris":["http://www.mendeley.com/documents/?uuid=57086662-36be-456e-bc90-f50a4aa31387"]}],"mendeley":{"formattedCitation":"Christina Allard, “The Rationale for the Duty to Consult Indigenous Peoples: Comparative Reflections from Nordic and Canadian Legal Contexts,” &lt;i&gt;Arctic Review on Law and Politics&lt;/i&gt; 9 (February 9, 2018): 25–43, https://doi.org/10.23865/arctic.v9.729.","plainTextFormattedCitation":"Christina Allard, “The Rationale for the Duty to Consult Indigenous Peoples: Comparative Reflections from Nordic and Canadian Legal Contexts,” Arctic Review on Law and Politics 9 (February 9, 2018): 25–43, https://doi.org/10.23865/arctic.v9.729.","previouslyFormattedCitation":"Christina Allard, “The Rationale for the Duty to Consult Indigenous Peoples: Comparative Reflections from Nordic and Canadian Legal Contexts,” &lt;i&gt;Arctic Review on Law and Politics&lt;/i&gt; 9 (February 9, 2018): 25–43, https://doi.org/10.23865/arctic.v9.729."},"properties":{"noteIndex":36},"schema":"https://github.com/citation-style-language/schema/raw/master/csl-citation.json"}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Christina Allard, “The Rationale for the Duty to Consult Indigenous Peoples: Comparative Reflections from Nordic and Canadian Legal Contexts,” </w:t>
      </w:r>
      <w:r w:rsidRPr="00745360">
        <w:rPr>
          <w:rFonts w:asciiTheme="majorHAnsi" w:hAnsiTheme="majorHAnsi"/>
          <w:i/>
          <w:noProof/>
        </w:rPr>
        <w:t>Arctic Review on Law and Politics</w:t>
      </w:r>
      <w:r w:rsidRPr="00745360">
        <w:rPr>
          <w:rFonts w:asciiTheme="majorHAnsi" w:hAnsiTheme="majorHAnsi"/>
          <w:noProof/>
        </w:rPr>
        <w:t xml:space="preserve"> 9 (February 9, 2018): 25–43, https://doi.org/10.23865/arctic.v9.729.</w:t>
      </w:r>
      <w:r w:rsidRPr="00745360">
        <w:rPr>
          <w:rFonts w:asciiTheme="majorHAnsi" w:hAnsiTheme="majorHAnsi"/>
        </w:rPr>
        <w:fldChar w:fldCharType="end"/>
      </w:r>
    </w:p>
  </w:footnote>
  <w:footnote w:id="37">
    <w:p w14:paraId="18B04D01" w14:textId="1AC88F30" w:rsidR="00A83466" w:rsidRPr="00745360" w:rsidRDefault="00A83466"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7F6886" w:rsidRPr="00745360">
        <w:rPr>
          <w:rFonts w:asciiTheme="majorHAnsi" w:hAnsiTheme="majorHAnsi"/>
        </w:rPr>
        <w:instrText>ADDIN CSL_CITATION {"citationItems":[{"id":"ITEM-1","itemData":{"DOI":"10.23865/arctic.v9.729","ISSN":"2387-4562","abstract":"Although the standard of consulting Indigenous peoples in decisions affecting them is well rooted internationally as well as in national legal systems, different views and patterns of problems are associated with the concept and its practice. This paper briefly analyses and contrasts the duty to consult Indigenous peoples through a comparison of the three Nordic countries Norway, Finland and Sweden, and Canada. Based on domestic legal sources, the focus of the paper is to explore the legal foundation that has given rise to the specific set of rules for the duty to consult, that is, the rationale behind the evolving of the rules. The first finding is that the rules differ among the three Nordic countries, with Sweden being the only country that lacks specific rules. Secondly, whereas Canada has developed its own duty to consult primarily through domestic case law, in the Nordic countries, duty to consult is related to international law obligations. Consultation duties that have evolved from domestic law may be easier to accept than “foreign” regulations imposed on national legal systems. This could explain the reluctance among the Nordic States to accept specific consultations with the Sami Parliament and other Sami groups, particularly in Sweden.","author":[{"dropping-particle":"","family":"Allard","given":"Christina","non-dropping-particle":"","parse-names":false,"suffix":""}],"container-title":"Arctic Review on Law and Politics","id":"ITEM-1","issued":{"date-parts":[["2018","2","9"]]},"page":"25-43","title":"The Rationale for the Duty to Consult Indigenous Peoples: Comparative Reflections from Nordic and Canadian Legal Contexts","type":"article-journal","volume":"9"},"uris":["http://www.mendeley.com/documents/?uuid=57086662-36be-456e-bc90-f50a4aa31387"]}],"mendeley":{"formattedCitation":"Allard.","plainTextFormattedCitation":"Allard.","previouslyFormattedCitation":"Allard."},"properties":{"noteIndex":37},"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Allard.</w:t>
      </w:r>
      <w:r w:rsidRPr="00745360">
        <w:rPr>
          <w:rFonts w:asciiTheme="majorHAnsi" w:hAnsiTheme="majorHAnsi"/>
        </w:rPr>
        <w:fldChar w:fldCharType="end"/>
      </w:r>
    </w:p>
  </w:footnote>
  <w:footnote w:id="38">
    <w:p w14:paraId="260181B6" w14:textId="5A720032" w:rsidR="007F6886" w:rsidRPr="00745360" w:rsidRDefault="007F6886"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B4280B" w:rsidRPr="00745360">
        <w:rPr>
          <w:rFonts w:asciiTheme="majorHAnsi" w:hAnsiTheme="majorHAnsi"/>
        </w:rPr>
        <w:instrText>ADDIN CSL_CITATION {"citationItems":[{"id":"ITEM-1","itemData":{"DOI":"10.5130/nesais.v4i1.1537","ISSN":"22081232","author":[{"dropping-particle":"","family":"Reid","given":"Leya","non-dropping-particle":"","parse-names":false,"suffix":""}],"container-title":"NEW: Emerging scholars in Australian Indigenous Studies","id":"ITEM-1","issue":"1","issued":{"date-parts":[["2019","3","15"]]},"page":"8-13","title":"Native Title, land rights and Aboriginal self-determination","type":"article-journal","volume":"4"},"uris":["http://www.mendeley.com/documents/?uuid=6d0cfae1-3621-4aa9-9adb-8f483027a3ec"]}],"mendeley":{"formattedCitation":"Leya Reid, “Native Title, Land Rights and Aboriginal Self-Determination,” &lt;i&gt;NEW: Emerging Scholars in Australian Indigenous Studies&lt;/i&gt; 4, no. 1 (March 15, 2019): 8–13, https://doi.org/10.5130/nesais.v4i1.1537.","plainTextFormattedCitation":"Leya Reid, “Native Title, Land Rights and Aboriginal Self-Determination,” NEW: Emerging Scholars in Australian Indigenous Studies 4, no. 1 (March 15, 2019): 8–13, https://doi.org/10.5130/nesais.v4i1.1537.","previouslyFormattedCitation":"Leya Reid, “Native Title, Land Rights and Aboriginal Self-Determination,” &lt;i&gt;NEW: Emerging Scholars in Australian Indigenous Studies&lt;/i&gt; 4, no. 1 (March 15, 2019): 8–13, https://doi.org/10.5130/nesais.v4i1.1537."},"properties":{"noteIndex":38},"schema":"https://github.com/citation-style-language/schema/raw/master/csl-citation.json"}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Leya Reid, “Native Title, Land Rights and Aboriginal Self-Determination,” </w:t>
      </w:r>
      <w:r w:rsidRPr="00745360">
        <w:rPr>
          <w:rFonts w:asciiTheme="majorHAnsi" w:hAnsiTheme="majorHAnsi"/>
          <w:i/>
          <w:noProof/>
        </w:rPr>
        <w:t>NEW: Emerging Scholars in Australian Indigenous Studies</w:t>
      </w:r>
      <w:r w:rsidRPr="00745360">
        <w:rPr>
          <w:rFonts w:asciiTheme="majorHAnsi" w:hAnsiTheme="majorHAnsi"/>
          <w:noProof/>
        </w:rPr>
        <w:t xml:space="preserve"> 4, no. 1 (March 15, 2019): 8–13, https://doi.org/10.5130/nesais.v4i1.1537.</w:t>
      </w:r>
      <w:r w:rsidRPr="00745360">
        <w:rPr>
          <w:rFonts w:asciiTheme="majorHAnsi" w:hAnsiTheme="majorHAnsi"/>
        </w:rPr>
        <w:fldChar w:fldCharType="end"/>
      </w:r>
    </w:p>
  </w:footnote>
  <w:footnote w:id="39">
    <w:p w14:paraId="53D5290E" w14:textId="3BCD974D" w:rsidR="00B4280B" w:rsidRPr="00745360" w:rsidRDefault="00B4280B"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6C21A6" w:rsidRPr="00745360">
        <w:rPr>
          <w:rFonts w:asciiTheme="majorHAnsi" w:hAnsiTheme="majorHAnsi"/>
        </w:rPr>
        <w:instrText>ADDIN CSL_CITATION {"citationItems":[{"id":"ITEM-1","itemData":{"DOI":"10.1016/j.resourpol.2018.01.006","ISSN":"03014207","author":[{"dropping-particle":"","family":"Tilton","given":"John E.","non-dropping-particle":"","parse-names":false,"suffix":""},{"dropping-particle":"","family":"Crowson","given":"Phillip C.F.","non-dropping-particle":"","parse-names":false,"suffix":""},{"dropping-particle":"","family":"DeYoung","given":"John H.","non-dropping-particle":"","parse-names":false,"suffix":""},{"dropping-particle":"","family":"Eggert","given":"Roderick G.","non-dropping-particle":"","parse-names":false,"suffix":""},{"dropping-particle":"","family":"Ericsson","given":"Magnus","non-dropping-particle":"","parse-names":false,"suffix":""},{"dropping-particle":"","family":"Guzmán","given":"Juan Ignacio","non-dropping-particle":"","parse-names":false,"suffix":""},{"dropping-particle":"","family":"Humphreys","given":"David","non-dropping-particle":"","parse-names":false,"suffix":""},{"dropping-particle":"","family":"Lagos","given":"Gustavo","non-dropping-particle":"","parse-names":false,"suffix":""},{"dropping-particle":"","family":"Maxwell","given":"Philip","non-dropping-particle":"","parse-names":false,"suffix":""},{"dropping-particle":"","family":"Radetzki","given":"Marian","non-dropping-particle":"","parse-names":false,"suffix":""},{"dropping-particle":"","family":"Singer","given":"Donald A.","non-dropping-particle":"","parse-names":false,"suffix":""},{"dropping-particle":"","family":"Wellmer","given":"Friedrich-W.","non-dropping-particle":"","parse-names":false,"suffix":""}],"container-title":"Resources Policy","id":"ITEM-1","issued":{"date-parts":[["2018","8"]]},"page":"55-60","title":"Public policy and future mineral supplies","type":"article-journal","volume":"57"},"uris":["http://www.mendeley.com/documents/?uuid=fd1bf222-7320-432c-96ae-7325030269dd"]}],"mendeley":{"formattedCitation":"John E. Tilton et al., “Public Policy and Future Mineral Supplies,” &lt;i&gt;Resources Policy&lt;/i&gt; 57 (August 2018): 55–60, https://doi.org/10.1016/j.resourpol.2018.01.006.","plainTextFormattedCitation":"John E. Tilton et al., “Public Policy and Future Mineral Supplies,” Resources Policy 57 (August 2018): 55–60, https://doi.org/10.1016/j.resourpol.2018.01.006.","previouslyFormattedCitation":"John E. Tilton et al., “Public Policy and Future Mineral Supplies,” &lt;i&gt;Resources Policy&lt;/i&gt; 57 (August 2018): 55–60, https://doi.org/10.1016/j.resourpol.2018.01.006."},"properties":{"noteIndex":39},"schema":"https://github.com/citation-style-language/schema/raw/master/csl-citation.json"}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John E. Tilton et al., “Public Policy and Future Mineral Supplies,” </w:t>
      </w:r>
      <w:r w:rsidRPr="00745360">
        <w:rPr>
          <w:rFonts w:asciiTheme="majorHAnsi" w:hAnsiTheme="majorHAnsi"/>
          <w:i/>
          <w:noProof/>
        </w:rPr>
        <w:t>Resources Policy</w:t>
      </w:r>
      <w:r w:rsidRPr="00745360">
        <w:rPr>
          <w:rFonts w:asciiTheme="majorHAnsi" w:hAnsiTheme="majorHAnsi"/>
          <w:noProof/>
        </w:rPr>
        <w:t xml:space="preserve"> 57 (August 2018): 55–60, https://doi.org/10.1016/j.resourpol.2018.01.006.</w:t>
      </w:r>
      <w:r w:rsidRPr="00745360">
        <w:rPr>
          <w:rFonts w:asciiTheme="majorHAnsi" w:hAnsiTheme="majorHAnsi"/>
        </w:rPr>
        <w:fldChar w:fldCharType="end"/>
      </w:r>
    </w:p>
  </w:footnote>
  <w:footnote w:id="40">
    <w:p w14:paraId="5046E83D" w14:textId="16B0A366" w:rsidR="006C21A6" w:rsidRPr="00745360" w:rsidRDefault="006C21A6"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AE2433" w:rsidRPr="00745360">
        <w:rPr>
          <w:rFonts w:asciiTheme="majorHAnsi" w:hAnsiTheme="majorHAnsi"/>
        </w:rPr>
        <w:instrText>ADDIN CSL_CITATION {"citationItems":[{"id":"ITEM-1","itemData":{"DOI":"10.1016/j.resourpol.2016.01.002","ISSN":"03014207","author":[{"dropping-particle":"","family":"Fogarty","given":"James J.","non-dropping-particle":"","parse-names":false,"suffix":""},{"dropping-particle":"","family":"Sagerer","given":"Simon","non-dropping-particle":"","parse-names":false,"suffix":""}],"container-title":"Resources Policy","id":"ITEM-1","issued":{"date-parts":[["2016","3"]]},"page":"78-86","title":"Exploration externalities and government subsidies: The return to government","type":"article-journal","volume":"47"},"uris":["http://www.mendeley.com/documents/?uuid=e8366c7e-05cd-41cd-a479-5d0bd157afef"]}],"mendeley":{"formattedCitation":"James J. Fogarty and Simon Sagerer, “Exploration Externalities and Government Subsidies: The Return to Government,” &lt;i&gt;Resources Policy&lt;/i&gt; 47 (March 2016): 78–86, https://doi.org/10.1016/j.resourpol.2016.01.002.","plainTextFormattedCitation":"James J. Fogarty and Simon Sagerer, “Exploration Externalities and Government Subsidies: The Return to Government,” Resources Policy 47 (March 2016): 78–86, https://doi.org/10.1016/j.resourpol.2016.01.002.","previouslyFormattedCitation":"James J. Fogarty and Simon Sagerer, “Exploration Externalities and Government Subsidies: The Return to Government,” &lt;i&gt;Resources Policy&lt;/i&gt; 47 (March 2016): 78–86, https://doi.org/10.1016/j.resourpol.2016.01.002."},"properties":{"noteIndex":40},"schema":"https://github.com/citation-style-language/schema/raw/master/csl-citation.json"}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James J. Fogarty and Simon Sagerer, “Exploration Externalities and Government Subsidies: The Return to Government,” </w:t>
      </w:r>
      <w:r w:rsidRPr="00745360">
        <w:rPr>
          <w:rFonts w:asciiTheme="majorHAnsi" w:hAnsiTheme="majorHAnsi"/>
          <w:i/>
          <w:noProof/>
        </w:rPr>
        <w:t>Resources Policy</w:t>
      </w:r>
      <w:r w:rsidRPr="00745360">
        <w:rPr>
          <w:rFonts w:asciiTheme="majorHAnsi" w:hAnsiTheme="majorHAnsi"/>
          <w:noProof/>
        </w:rPr>
        <w:t xml:space="preserve"> 47 (March 2016): 78–86, https://doi.org/10.1016/j.resourpol.2016.01.002.</w:t>
      </w:r>
      <w:r w:rsidRPr="00745360">
        <w:rPr>
          <w:rFonts w:asciiTheme="majorHAnsi" w:hAnsiTheme="majorHAnsi"/>
        </w:rPr>
        <w:fldChar w:fldCharType="end"/>
      </w:r>
    </w:p>
  </w:footnote>
  <w:footnote w:id="41">
    <w:p w14:paraId="054881D0" w14:textId="2793CBED" w:rsidR="00AE2433" w:rsidRPr="00745360" w:rsidRDefault="00AE2433"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684EBE" w:rsidRPr="00745360">
        <w:rPr>
          <w:rFonts w:asciiTheme="majorHAnsi" w:hAnsiTheme="majorHAnsi"/>
        </w:rPr>
        <w:instrText>ADDIN CSL_CITATION {"citationItems":[{"id":"ITEM-1","itemData":{"DOI":"10.1016/j.resourpol.2016.01.002","ISSN":"03014207","author":[{"dropping-particle":"","family":"Fogarty","given":"James J.","non-dropping-particle":"","parse-names":false,"suffix":""},{"dropping-particle":"","family":"Sagerer","given":"Simon","non-dropping-particle":"","parse-names":false,"suffix":""}],"container-title":"Resources Policy","id":"ITEM-1","issued":{"date-parts":[["2016","3"]]},"page":"78-86","title":"Exploration externalities and government subsidies: The return to government","type":"article-journal","volume":"47"},"uris":["http://www.mendeley.com/documents/?uuid=e8366c7e-05cd-41cd-a479-5d0bd157afef"]}],"mendeley":{"formattedCitation":"Fogarty and Sagerer.","plainTextFormattedCitation":"Fogarty and Sagerer.","previouslyFormattedCitation":"Fogarty and Sagerer."},"properties":{"noteIndex":41},"schema":"https://github.com/citation-style-language/schema/raw/master/csl-citation.json"}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Fogarty and Sagerer.</w:t>
      </w:r>
      <w:r w:rsidRPr="00745360">
        <w:rPr>
          <w:rFonts w:asciiTheme="majorHAnsi" w:hAnsiTheme="majorHAnsi"/>
        </w:rPr>
        <w:fldChar w:fldCharType="end"/>
      </w:r>
    </w:p>
  </w:footnote>
  <w:footnote w:id="42">
    <w:p w14:paraId="00A2F715" w14:textId="73AF221A" w:rsidR="00684EBE" w:rsidRPr="00745360" w:rsidRDefault="00684EBE"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19343C" w:rsidRPr="00745360">
        <w:rPr>
          <w:rFonts w:asciiTheme="majorHAnsi" w:hAnsiTheme="majorHAnsi"/>
        </w:rPr>
        <w:instrText>ADDIN CSL_CITATION {"citationItems":[{"id":"ITEM-1","itemData":{"DOI":"10.1111/j.1468-0467.2011.00366.x","ISSN":"0435-3684","author":[{"dropping-particle":"","family":"Holden","given":"William","non-dropping-particle":"","parse-names":false,"suffix":""},{"dropping-particle":"","family":"Nadeau","given":"Kathleen","non-dropping-particle":"","parse-names":false,"suffix":""},{"dropping-particle":"","family":"Jacobson","given":"R. Daniel","non-dropping-particle":"","parse-names":false,"suffix":""}],"container-title":"Geografiska Annaler: Series B, Human Geography","id":"ITEM-1","issue":"2","issued":{"date-parts":[["2011","6","10"]]},"page":"141-161","title":"Exemplifying accumulation by dispossession: mining and indigenous peoples in the philippines","type":"article-journal","volume":"93"},"uris":["http://www.mendeley.com/documents/?uuid=69fc063d-59b0-4526-8df6-2629912d661e"]}],"mendeley":{"formattedCitation":"William Holden, Kathleen Nadeau, and R. Daniel Jacobson, “Exemplifying Accumulation by Dispossession: Mining and Indigenous Peoples in the Philippines,” &lt;i&gt;Geografiska Annaler: Series B, Human Geography&lt;/i&gt; 93, no. 2 (June 10, 2011): 141–61, https://doi.org/10.1111/j.1468-0467.2011.00366.x.","plainTextFormattedCitation":"William Holden, Kathleen Nadeau, and R. Daniel Jacobson, “Exemplifying Accumulation by Dispossession: Mining and Indigenous Peoples in the Philippines,” Geografiska Annaler: Series B, Human Geography 93, no. 2 (June 10, 2011): 141–61, https://doi.org/10.1111/j.1468-0467.2011.00366.x.","previouslyFormattedCitation":"William Holden, Kathleen Nadeau, and R. Daniel Jacobson, “Exemplifying Accumulation by Dispossession: Mining and Indigenous Peoples in the Philippines,” &lt;i&gt;Geografiska Annaler: Series B, Human Geography&lt;/i&gt; 93, no. 2 (June 10, 2011): 141–61, https://doi.org/10.1111/j.1468-0467.2011.00366.x."},"properties":{"noteIndex":42},"schema":"https://github.com/citation-style-language/schema/raw/master/csl-citation.json"}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William Holden, Kathleen Nadeau, and R. Daniel Jacobson, “Exemplifying Accumulation by Dispossession: Mining and Indigenous Peoples in the Philippines,” </w:t>
      </w:r>
      <w:r w:rsidRPr="00745360">
        <w:rPr>
          <w:rFonts w:asciiTheme="majorHAnsi" w:hAnsiTheme="majorHAnsi"/>
          <w:i/>
          <w:noProof/>
        </w:rPr>
        <w:t>Geografiska Annaler: Series B, Human Geography</w:t>
      </w:r>
      <w:r w:rsidRPr="00745360">
        <w:rPr>
          <w:rFonts w:asciiTheme="majorHAnsi" w:hAnsiTheme="majorHAnsi"/>
          <w:noProof/>
        </w:rPr>
        <w:t xml:space="preserve"> 93, no. 2 (June 10, 2011): 141–61, https://doi.org/10.1111/j.1468-0467.2011.00366.x.</w:t>
      </w:r>
      <w:r w:rsidRPr="00745360">
        <w:rPr>
          <w:rFonts w:asciiTheme="majorHAnsi" w:hAnsiTheme="majorHAnsi"/>
        </w:rPr>
        <w:fldChar w:fldCharType="end"/>
      </w:r>
    </w:p>
  </w:footnote>
  <w:footnote w:id="43">
    <w:p w14:paraId="4F4434C3" w14:textId="36507D48" w:rsidR="0019343C" w:rsidRPr="00745360" w:rsidRDefault="0019343C"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662EA0" w:rsidRPr="00745360">
        <w:rPr>
          <w:rFonts w:asciiTheme="majorHAnsi" w:hAnsiTheme="majorHAnsi"/>
        </w:rPr>
        <w:instrText>ADDIN CSL_CITATION {"citationItems":[{"id":"ITEM-1","itemData":{"DOI":"10.1017/als.2019.4","ISSN":"2052-9015","author":[{"dropping-particle":"","family":"GALINDEZ","given":"Kyle","non-dropping-particle":"","parse-names":false,"suffix":""}],"container-title":"Asian Journal of Law and Society","id":"ITEM-1","issue":"01","issued":{"date-parts":[["2019","5","20"]]},"page":"216-218","title":"Social Movements and Civil Governance in Hong Kong.","type":"article-journal","volume":"6"},"uris":["http://www.mendeley.com/documents/?uuid=25fcd8c1-a894-4f77-bb07-9c1938cc9364"]}],"mendeley":{"formattedCitation":"Kyle GALINDEZ, “Social Movements and Civil Governance in Hong Kong.,” &lt;i&gt;Asian Journal of Law and Society&lt;/i&gt; 6, no. 01 (May 20, 2019): 216–18, https://doi.org/10.1017/als.2019.4.","plainTextFormattedCitation":"Kyle GALINDEZ, “Social Movements and Civil Governance in Hong Kong.,” Asian Journal of Law and Society 6, no. 01 (May 20, 2019): 216–18, https://doi.org/10.1017/als.2019.4.","previouslyFormattedCitation":"Kyle GALINDEZ, “Social Movements and Civil Governance in Hong Kong.,” &lt;i&gt;Asian Journal of Law and Society&lt;/i&gt; 6, no. 01 (May 20, 2019): 216–18, https://doi.org/10.1017/als.2019.4."},"properties":{"noteIndex":43},"schema":"https://github.com/citation-style-language/schema/raw/master/csl-citation.json"}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Kyle GALINDEZ, “Social Movements and Civil Governance in Hong Kong.,” </w:t>
      </w:r>
      <w:r w:rsidRPr="00745360">
        <w:rPr>
          <w:rFonts w:asciiTheme="majorHAnsi" w:hAnsiTheme="majorHAnsi"/>
          <w:i/>
          <w:noProof/>
        </w:rPr>
        <w:t>Asian Journal of Law and Society</w:t>
      </w:r>
      <w:r w:rsidRPr="00745360">
        <w:rPr>
          <w:rFonts w:asciiTheme="majorHAnsi" w:hAnsiTheme="majorHAnsi"/>
          <w:noProof/>
        </w:rPr>
        <w:t xml:space="preserve"> 6, no. 01 (May 20, 2019): 216–18, https://doi.org/10.1017/als.2019.4.</w:t>
      </w:r>
      <w:r w:rsidRPr="00745360">
        <w:rPr>
          <w:rFonts w:asciiTheme="majorHAnsi" w:hAnsiTheme="majorHAnsi"/>
        </w:rPr>
        <w:fldChar w:fldCharType="end"/>
      </w:r>
    </w:p>
  </w:footnote>
  <w:footnote w:id="44">
    <w:p w14:paraId="20FD3A21" w14:textId="68871415" w:rsidR="00662EA0" w:rsidRPr="00745360" w:rsidRDefault="00662EA0"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Pr="00745360">
        <w:rPr>
          <w:rFonts w:asciiTheme="majorHAnsi" w:hAnsiTheme="majorHAnsi"/>
        </w:rPr>
        <w:instrText>ADDIN CSL_CITATION {"citationItems":[{"id":"ITEM-1","itemData":{"DOI":"10.1016/j.worlddev.2010.02.002","ISSN":"0305750X","author":[{"dropping-particle":"","family":"la Fuente","given":"Alejandro","non-dropping-particle":"de","parse-names":false,"suffix":""}],"container-title":"World Development","id":"ITEM-1","issue":"6","issued":{"date-parts":[["2010","6"]]},"page":"828-839","title":"Remittances and Vulnerability to Poverty in Rural Mexico","type":"article-journal","volume":"38"},"uris":["http://www.mendeley.com/documents/?uuid=41c509be-36d7-4411-b655-014010ea2f2c"]}],"mendeley":{"formattedCitation":"Alejandro de la Fuente, “Remittances and Vulnerability to Poverty in Rural Mexico,” &lt;i&gt;World Development&lt;/i&gt; 38, no. 6 (June 2010): 828–39, https://doi.org/10.1016/j.worlddev.2010.02.002.","plainTextFormattedCitation":"Alejandro de la Fuente, “Remittances and Vulnerability to Poverty in Rural Mexico,” World Development 38, no. 6 (June 2010): 828–39, https://doi.org/10.1016/j.worlddev.2010.02.002.","previouslyFormattedCitation":"Alejandro de la Fuente, “Remittances and Vulnerability to Poverty in Rural Mexico,” &lt;i&gt;World Development&lt;/i&gt; 38, no. 6 (June 2010): 828–39, https://doi.org/10.1016/j.worlddev.2010.02.002."},"properties":{"noteIndex":44},"schema":"https://github.com/citation-style-language/schema/raw/master/csl-citation.json"}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Alejandro de la Fuente, “Remittances and Vulnerability to Poverty in Rural Mexico,” </w:t>
      </w:r>
      <w:r w:rsidRPr="00745360">
        <w:rPr>
          <w:rFonts w:asciiTheme="majorHAnsi" w:hAnsiTheme="majorHAnsi"/>
          <w:i/>
          <w:noProof/>
        </w:rPr>
        <w:t>World Development</w:t>
      </w:r>
      <w:r w:rsidRPr="00745360">
        <w:rPr>
          <w:rFonts w:asciiTheme="majorHAnsi" w:hAnsiTheme="majorHAnsi"/>
          <w:noProof/>
        </w:rPr>
        <w:t xml:space="preserve"> 38, no. 6 (June 2010): 828–39, https://doi.org/10.1016/j.worlddev.2010.02.002.</w:t>
      </w:r>
      <w:r w:rsidRPr="00745360">
        <w:rPr>
          <w:rFonts w:asciiTheme="majorHAnsi" w:hAnsiTheme="majorHAnsi"/>
        </w:rPr>
        <w:fldChar w:fldCharType="end"/>
      </w:r>
    </w:p>
  </w:footnote>
  <w:footnote w:id="45">
    <w:p w14:paraId="586B7E43" w14:textId="0216E681" w:rsidR="00662EA0" w:rsidRPr="00745360" w:rsidRDefault="00662EA0"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3B07A7" w:rsidRPr="00745360">
        <w:rPr>
          <w:rFonts w:asciiTheme="majorHAnsi" w:hAnsiTheme="majorHAnsi"/>
        </w:rPr>
        <w:instrText>ADDIN CSL_CITATION {"citationItems":[{"id":"ITEM-1","itemData":{"DOI":"10.1080/13642987.2019.1677613","ISSN":"1364-2987","author":[{"dropping-particle":"","family":"Larsen","given":"Peter Bille","non-dropping-particle":"","parse-names":false,"suffix":""}],"container-title":"The International Journal of Human Rights","id":"ITEM-1","issue":"2-3","issued":{"date-parts":[["2020","2","7"]]},"page":"94-111","title":"Contextualising ratification and implementation: a critical appraisal of ILO Convention 169 from a social justice perspective","type":"article-journal","volume":"24"},"uris":["http://www.mendeley.com/documents/?uuid=f931c05d-4bac-47b0-9e99-5ca491a8bc30"]}],"mendeley":{"formattedCitation":"Peter Bille Larsen, “Contextualising Ratification and Implementation: A Critical Appraisal of ILO Convention 169 from a Social Justice Perspective,” &lt;i&gt;The International Journal of Human Rights&lt;/i&gt; 24, no. 2–3 (February 7, 2020): 94–111, https://doi.org/10.1080/13642987.2019.1677613.","plainTextFormattedCitation":"Peter Bille Larsen, “Contextualising Ratification and Implementation: A Critical Appraisal of ILO Convention 169 from a Social Justice Perspective,” The International Journal of Human Rights 24, no. 2–3 (February 7, 2020): 94–111, https://doi.org/10.1080/13642987.2019.1677613.","previouslyFormattedCitation":"Peter Bille Larsen, “Contextualising Ratification and Implementation: A Critical Appraisal of ILO Convention 169 from a Social Justice Perspective,” &lt;i&gt;The International Journal of Human Rights&lt;/i&gt; 24, no. 2–3 (February 7, 2020): 94–111, https://doi.org/10.1080/13642987.2019.1677613."},"properties":{"noteIndex":45},"schema":"https://github.com/citation-style-language/schema/raw/master/csl-citation.json"}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Peter Bille Larsen, “Contextualising Ratification and Implementation: A Critical Appraisal of ILO Convention 169 from a Social Justice Perspective,” </w:t>
      </w:r>
      <w:r w:rsidRPr="00745360">
        <w:rPr>
          <w:rFonts w:asciiTheme="majorHAnsi" w:hAnsiTheme="majorHAnsi"/>
          <w:i/>
          <w:noProof/>
        </w:rPr>
        <w:t>The International Journal of Human Rights</w:t>
      </w:r>
      <w:r w:rsidRPr="00745360">
        <w:rPr>
          <w:rFonts w:asciiTheme="majorHAnsi" w:hAnsiTheme="majorHAnsi"/>
          <w:noProof/>
        </w:rPr>
        <w:t xml:space="preserve"> 24, no. 2–3 (February 7, 2020): 94–111, https://doi.org/10.1080/13642987.2019.1677613.</w:t>
      </w:r>
      <w:r w:rsidRPr="00745360">
        <w:rPr>
          <w:rFonts w:asciiTheme="majorHAnsi" w:hAnsiTheme="majorHAnsi"/>
        </w:rPr>
        <w:fldChar w:fldCharType="end"/>
      </w:r>
    </w:p>
  </w:footnote>
  <w:footnote w:id="46">
    <w:p w14:paraId="44519944" w14:textId="750EFAB0" w:rsidR="003B07A7" w:rsidRPr="00745360" w:rsidRDefault="003B07A7"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1B759E" w:rsidRPr="00745360">
        <w:rPr>
          <w:rFonts w:asciiTheme="majorHAnsi" w:hAnsiTheme="majorHAnsi"/>
        </w:rPr>
        <w:instrText>ADDIN CSL_CITATION {"citationItems":[{"id":"ITEM-1","itemData":{"DOI":"10.1073/pnas.1603290114","ISSN":"0027-8424","abstract":"Developing countries are increasingly granting local communities legal title to forests. Almost a third of forests in the global south are now managed by local communities, more than twice the share currently found in protected areas. However, we know little about the effects of titling on forest clearing and disturbance, which remain urgent problems. We use community-level longitudinal data derived from high-resolution satellite images, along with statistical techniques that control for confounding factors, to measure the effect of titling indigenous communities in the Peruvian Amazon. Results indicate that titling significantly reduces both clearing and disturbance, at least in the short term. The implication is that awarding formal land titles to local communities can protect forests.","author":[{"dropping-particle":"","family":"Blackman","given":"Allen","non-dropping-particle":"","parse-names":false,"suffix":""},{"dropping-particle":"","family":"Corral","given":"Leonardo","non-dropping-particle":"","parse-names":false,"suffix":""},{"dropping-particle":"","family":"Lima","given":"Eirivelthon Santos","non-dropping-particle":"","parse-names":false,"suffix":""},{"dropping-particle":"","family":"Asner","given":"Gregory P.","non-dropping-particle":"","parse-names":false,"suffix":""}],"container-title":"Proceedings of the National Academy of Sciences","id":"ITEM-1","issue":"16","issued":{"date-parts":[["2017","4","18"]]},"page":"4123-4128","title":"Titling indigenous communities protects forests in the Peruvian Amazon","type":"article-journal","volume":"114"},"uris":["http://www.mendeley.com/documents/?uuid=7bcd3899-9343-4bc6-8d8b-c3a5d40f60a7"]}],"mendeley":{"formattedCitation":"Allen Blackman et al., “Titling Indigenous Communities Protects Forests in the Peruvian Amazon,” &lt;i&gt;Proceedings of the National Academy of Sciences&lt;/i&gt; 114, no. 16 (April 18, 2017): 4123–28, https://doi.org/10.1073/pnas.1603290114.","plainTextFormattedCitation":"Allen Blackman et al., “Titling Indigenous Communities Protects Forests in the Peruvian Amazon,” Proceedings of the National Academy of Sciences 114, no. 16 (April 18, 2017): 4123–28, https://doi.org/10.1073/pnas.1603290114.","previouslyFormattedCitation":"Allen Blackman et al., “Titling Indigenous Communities Protects Forests in the Peruvian Amazon,” &lt;i&gt;Proceedings of the National Academy of Sciences&lt;/i&gt; 114, no. 16 (April 18, 2017): 4123–28, https://doi.org/10.1073/pnas.1603290114."},"properties":{"noteIndex":46},"schema":"https://github.com/citation-style-language/schema/raw/master/csl-citation.json"}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Allen Blackman et al., “Titling Indigenous Communities Protects Forests in the Peruvian Amazon,” </w:t>
      </w:r>
      <w:r w:rsidRPr="00745360">
        <w:rPr>
          <w:rFonts w:asciiTheme="majorHAnsi" w:hAnsiTheme="majorHAnsi"/>
          <w:i/>
          <w:noProof/>
        </w:rPr>
        <w:t>Proceedings of the National Academy of Sciences</w:t>
      </w:r>
      <w:r w:rsidRPr="00745360">
        <w:rPr>
          <w:rFonts w:asciiTheme="majorHAnsi" w:hAnsiTheme="majorHAnsi"/>
          <w:noProof/>
        </w:rPr>
        <w:t xml:space="preserve"> 114, no. 16 (April 18, 2017): 4123–28, https://doi.org/10.1073/pnas.1603290114.</w:t>
      </w:r>
      <w:r w:rsidRPr="00745360">
        <w:rPr>
          <w:rFonts w:asciiTheme="majorHAnsi" w:hAnsiTheme="majorHAnsi"/>
        </w:rPr>
        <w:fldChar w:fldCharType="end"/>
      </w:r>
    </w:p>
  </w:footnote>
  <w:footnote w:id="47">
    <w:p w14:paraId="4789C973" w14:textId="545CABEA" w:rsidR="001B759E" w:rsidRPr="00745360" w:rsidRDefault="001B759E"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A449B2" w:rsidRPr="00745360">
        <w:rPr>
          <w:rFonts w:asciiTheme="majorHAnsi" w:hAnsiTheme="majorHAnsi"/>
        </w:rPr>
        <w:instrText>ADDIN CSL_CITATION {"citationItems":[{"id":"ITEM-1","itemData":{"DOI":"10.1016/j.eiar.2016.04.006","ISSN":"01959255","author":[{"dropping-particle":"","family":"Schindler","given":"Jana","non-dropping-particle":"","parse-names":false,"suffix":""},{"dropping-particle":"","family":"Graef","given":"Frieder","non-dropping-particle":"","parse-names":false,"suffix":""},{"dropping-particle":"","family":"König","given":"Hannes Jochen","non-dropping-particle":"","parse-names":false,"suffix":""},{"dropping-particle":"","family":"Mchau","given":"Devotha","non-dropping-particle":"","parse-names":false,"suffix":""},{"dropping-particle":"","family":"Saidia","given":"Paul","non-dropping-particle":"","parse-names":false,"suffix":""},{"dropping-particle":"","family":"Sieber","given":"Stefan","non-dropping-particle":"","parse-names":false,"suffix":""}],"container-title":"Environmental Impact Assessment Review","id":"ITEM-1","issued":{"date-parts":[["2016","9"]]},"page":"52-63","title":"Sustainability impact assessment to improve food security of smallholders in Tanzania","type":"article-journal","volume":"60"},"uris":["http://www.mendeley.com/documents/?uuid=883cd319-fb72-4c17-a9c4-64c9fccd903f"]}],"mendeley":{"formattedCitation":"Jana Schindler et al., “Sustainability Impact Assessment to Improve Food Security of Smallholders in Tanzania,” &lt;i&gt;Environmental Impact Assessment Review&lt;/i&gt; 60 (September 2016): 52–63, https://doi.org/10.1016/j.eiar.2016.04.006.","plainTextFormattedCitation":"Jana Schindler et al., “Sustainability Impact Assessment to Improve Food Security of Smallholders in Tanzania,” Environmental Impact Assessment Review 60 (September 2016): 52–63, https://doi.org/10.1016/j.eiar.2016.04.006.","previouslyFormattedCitation":"Jana Schindler et al., “Sustainability Impact Assessment to Improve Food Security of Smallholders in Tanzania,” &lt;i&gt;Environmental Impact Assessment Review&lt;/i&gt; 60 (September 2016): 52–63, https://doi.org/10.1016/j.eiar.2016.04.006."},"properties":{"noteIndex":47},"schema":"https://github.com/citation-style-language/schema/raw/master/csl-citation.json"}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Jana Schindler et al., “Sustainability Impact Assessment to Improve Food Security of Smallholders in Tanzania,” </w:t>
      </w:r>
      <w:r w:rsidRPr="00745360">
        <w:rPr>
          <w:rFonts w:asciiTheme="majorHAnsi" w:hAnsiTheme="majorHAnsi"/>
          <w:i/>
          <w:noProof/>
        </w:rPr>
        <w:t>Environmental Impact Assessment Review</w:t>
      </w:r>
      <w:r w:rsidRPr="00745360">
        <w:rPr>
          <w:rFonts w:asciiTheme="majorHAnsi" w:hAnsiTheme="majorHAnsi"/>
          <w:noProof/>
        </w:rPr>
        <w:t xml:space="preserve"> 60 (September 2016): 52–63, https://doi.org/10.1016/j.eiar.2016.04.006.</w:t>
      </w:r>
      <w:r w:rsidRPr="00745360">
        <w:rPr>
          <w:rFonts w:asciiTheme="majorHAnsi" w:hAnsiTheme="majorHAnsi"/>
        </w:rPr>
        <w:fldChar w:fldCharType="end"/>
      </w:r>
    </w:p>
  </w:footnote>
  <w:footnote w:id="48">
    <w:p w14:paraId="4AA285EF" w14:textId="1E15BAB0" w:rsidR="00A449B2" w:rsidRPr="00745360" w:rsidRDefault="00A449B2" w:rsidP="00745360">
      <w:pPr>
        <w:pStyle w:val="FootnoteText"/>
        <w:jc w:val="both"/>
        <w:rPr>
          <w:rFonts w:asciiTheme="majorHAnsi" w:hAnsiTheme="majorHAnsi"/>
        </w:rPr>
      </w:pPr>
      <w:r w:rsidRPr="00745360">
        <w:rPr>
          <w:rStyle w:val="FootnoteReference"/>
          <w:rFonts w:asciiTheme="majorHAnsi" w:hAnsiTheme="majorHAnsi"/>
        </w:rPr>
        <w:footnoteRef/>
      </w:r>
      <w:r w:rsidRPr="00745360">
        <w:rPr>
          <w:rFonts w:asciiTheme="majorHAnsi" w:hAnsiTheme="majorHAnsi"/>
        </w:rPr>
        <w:t xml:space="preserve"> </w:t>
      </w:r>
      <w:r w:rsidRPr="00745360">
        <w:rPr>
          <w:rFonts w:asciiTheme="majorHAnsi" w:hAnsiTheme="majorHAnsi"/>
        </w:rPr>
        <w:fldChar w:fldCharType="begin" w:fldLock="1"/>
      </w:r>
      <w:r w:rsidR="009A7316">
        <w:rPr>
          <w:rFonts w:asciiTheme="majorHAnsi" w:hAnsiTheme="majorHAnsi"/>
        </w:rPr>
        <w:instrText>ADDIN CSL_CITATION {"citationItems":[{"id":"ITEM-1","itemData":{"DOI":"10.1016/j.resourpol.2021.102259","ISSN":"03014207","author":[{"dropping-particle":"","family":"Hussain","given":"Muzzammil","non-dropping-particle":"","parse-names":false,"suffix":""},{"dropping-particle":"","family":"Ye","given":"Zhiwei","non-dropping-particle":"","parse-names":false,"suffix":""},{"dropping-particle":"","family":"Bashir","given":"Adnan","non-dropping-particle":"","parse-names":false,"suffix":""},{"dropping-particle":"","family":"Chaudhry","given":"Naveed Iqbal","non-dropping-particle":"","parse-names":false,"suffix":""},{"dropping-particle":"","family":"Zhao","given":"Yingjun","non-dropping-particle":"","parse-names":false,"suffix":""}],"container-title":"Resources Policy","id":"ITEM-1","issued":{"date-parts":[["2021","12"]]},"page":"102259","title":"A nexus of natural resource rents, institutional quality, human capital, and financial development in resource-rich high-income economies","type":"article-journal","volume":"74"},"uris":["http://www.mendeley.com/documents/?uuid=598d4747-c608-4b5f-9f0f-a5212f8d7699"]}],"mendeley":{"formattedCitation":"Muzzammil Hussain et al., “A Nexus of Natural Resource Rents, Institutional Quality, Human Capital, and Financial Development in Resource-Rich High-Income Economies,” &lt;i&gt;Resources Policy&lt;/i&gt; 74 (December 2021): 102259, https://doi.org/10.1016/j.resourpol.2021.102259.","plainTextFormattedCitation":"Muzzammil Hussain et al., “A Nexus of Natural Resource Rents, Institutional Quality, Human Capital, and Financial Development in Resource-Rich High-Income Economies,” Resources Policy 74 (December 2021): 102259, https://doi.org/10.1016/j.resourpol.2021.102259.","previouslyFormattedCitation":"Muzzammil Hussain et al., “A Nexus of Natural Resource Rents, Institutional Quality, Human Capital, and Financial Development in Resource-Rich High-Income Economies,” &lt;i&gt;Resources Policy&lt;/i&gt; 74 (December 2021): 102259, https://doi.org/10.1016/j.resourpol.2021.102259."},"properties":{"noteIndex":48},"schema":"https://github.com/citation-style-language/schema/raw/master/csl-citation.json"}</w:instrText>
      </w:r>
      <w:r w:rsidRPr="00745360">
        <w:rPr>
          <w:rFonts w:asciiTheme="majorHAnsi" w:hAnsiTheme="majorHAnsi"/>
        </w:rPr>
        <w:fldChar w:fldCharType="separate"/>
      </w:r>
      <w:r w:rsidRPr="00745360">
        <w:rPr>
          <w:rFonts w:asciiTheme="majorHAnsi" w:hAnsiTheme="majorHAnsi"/>
          <w:noProof/>
        </w:rPr>
        <w:t xml:space="preserve">Muzzammil Hussain et al., “A Nexus of Natural Resource Rents, Institutional Quality, Human Capital, and Financial Development in Resource-Rich High-Income Economies,” </w:t>
      </w:r>
      <w:r w:rsidRPr="00745360">
        <w:rPr>
          <w:rFonts w:asciiTheme="majorHAnsi" w:hAnsiTheme="majorHAnsi"/>
          <w:i/>
          <w:noProof/>
        </w:rPr>
        <w:t>Resources Policy</w:t>
      </w:r>
      <w:r w:rsidRPr="00745360">
        <w:rPr>
          <w:rFonts w:asciiTheme="majorHAnsi" w:hAnsiTheme="majorHAnsi"/>
          <w:noProof/>
        </w:rPr>
        <w:t xml:space="preserve"> 74 (December 2021): 102259, https://doi.org/10.1016/j.resourpol.2021.102259.</w:t>
      </w:r>
      <w:r w:rsidRPr="00745360">
        <w:rPr>
          <w:rFonts w:asciiTheme="majorHAnsi" w:hAnsiTheme="majorHAns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D26FF"/>
    <w:multiLevelType w:val="hybridMultilevel"/>
    <w:tmpl w:val="7B40C512"/>
    <w:lvl w:ilvl="0" w:tplc="38090011">
      <w:start w:val="1"/>
      <w:numFmt w:val="decimal"/>
      <w:lvlText w:val="%1)"/>
      <w:lvlJc w:val="left"/>
      <w:pPr>
        <w:ind w:left="1288" w:hanging="360"/>
      </w:p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1" w15:restartNumberingAfterBreak="0">
    <w:nsid w:val="2CFC6923"/>
    <w:multiLevelType w:val="hybridMultilevel"/>
    <w:tmpl w:val="699C2754"/>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4AEA281D"/>
    <w:multiLevelType w:val="hybridMultilevel"/>
    <w:tmpl w:val="6BA289F0"/>
    <w:lvl w:ilvl="0" w:tplc="9482C84A">
      <w:start w:val="1"/>
      <w:numFmt w:val="decimal"/>
      <w:lvlText w:val="%1)"/>
      <w:lvlJc w:val="left"/>
      <w:pPr>
        <w:ind w:left="2291" w:hanging="360"/>
      </w:pPr>
      <w:rPr>
        <w:rFonts w:hint="default"/>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3" w15:restartNumberingAfterBreak="0">
    <w:nsid w:val="6E40564E"/>
    <w:multiLevelType w:val="hybridMultilevel"/>
    <w:tmpl w:val="5A2A5D4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69340AD"/>
    <w:multiLevelType w:val="hybridMultilevel"/>
    <w:tmpl w:val="F8045ECC"/>
    <w:lvl w:ilvl="0" w:tplc="38090011">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5" w15:restartNumberingAfterBreak="0">
    <w:nsid w:val="7B7E6C5C"/>
    <w:multiLevelType w:val="hybridMultilevel"/>
    <w:tmpl w:val="B1521334"/>
    <w:lvl w:ilvl="0" w:tplc="268045B0">
      <w:start w:val="1"/>
      <w:numFmt w:val="upperLetter"/>
      <w:lvlText w:val="%1."/>
      <w:lvlJc w:val="left"/>
      <w:pPr>
        <w:ind w:left="1297" w:hanging="361"/>
        <w:jc w:val="left"/>
      </w:pPr>
      <w:rPr>
        <w:rFonts w:ascii="Times New Roman" w:eastAsia="Times New Roman" w:hAnsi="Times New Roman" w:cs="Times New Roman" w:hint="default"/>
        <w:b/>
        <w:bCs/>
        <w:spacing w:val="-1"/>
        <w:w w:val="99"/>
        <w:sz w:val="24"/>
        <w:szCs w:val="24"/>
        <w:lang w:val="id" w:eastAsia="en-US" w:bidi="ar-SA"/>
      </w:rPr>
    </w:lvl>
    <w:lvl w:ilvl="1" w:tplc="FCF291EC">
      <w:start w:val="1"/>
      <w:numFmt w:val="decimal"/>
      <w:lvlText w:val="%2."/>
      <w:lvlJc w:val="left"/>
      <w:pPr>
        <w:ind w:left="2003" w:hanging="284"/>
        <w:jc w:val="left"/>
      </w:pPr>
      <w:rPr>
        <w:rFonts w:ascii="Times New Roman" w:eastAsia="Times New Roman" w:hAnsi="Times New Roman" w:cs="Times New Roman" w:hint="default"/>
        <w:w w:val="100"/>
        <w:sz w:val="24"/>
        <w:szCs w:val="24"/>
        <w:lang w:val="id" w:eastAsia="en-US" w:bidi="ar-SA"/>
      </w:rPr>
    </w:lvl>
    <w:lvl w:ilvl="2" w:tplc="7DE89292">
      <w:numFmt w:val="bullet"/>
      <w:lvlText w:val="•"/>
      <w:lvlJc w:val="left"/>
      <w:pPr>
        <w:ind w:left="2749" w:hanging="284"/>
      </w:pPr>
      <w:rPr>
        <w:rFonts w:hint="default"/>
        <w:lang w:val="id" w:eastAsia="en-US" w:bidi="ar-SA"/>
      </w:rPr>
    </w:lvl>
    <w:lvl w:ilvl="3" w:tplc="901023FC">
      <w:numFmt w:val="bullet"/>
      <w:lvlText w:val="•"/>
      <w:lvlJc w:val="left"/>
      <w:pPr>
        <w:ind w:left="3499" w:hanging="284"/>
      </w:pPr>
      <w:rPr>
        <w:rFonts w:hint="default"/>
        <w:lang w:val="id" w:eastAsia="en-US" w:bidi="ar-SA"/>
      </w:rPr>
    </w:lvl>
    <w:lvl w:ilvl="4" w:tplc="D0DC47B6">
      <w:numFmt w:val="bullet"/>
      <w:lvlText w:val="•"/>
      <w:lvlJc w:val="left"/>
      <w:pPr>
        <w:ind w:left="4249" w:hanging="284"/>
      </w:pPr>
      <w:rPr>
        <w:rFonts w:hint="default"/>
        <w:lang w:val="id" w:eastAsia="en-US" w:bidi="ar-SA"/>
      </w:rPr>
    </w:lvl>
    <w:lvl w:ilvl="5" w:tplc="7FBEFA62">
      <w:numFmt w:val="bullet"/>
      <w:lvlText w:val="•"/>
      <w:lvlJc w:val="left"/>
      <w:pPr>
        <w:ind w:left="4999" w:hanging="284"/>
      </w:pPr>
      <w:rPr>
        <w:rFonts w:hint="default"/>
        <w:lang w:val="id" w:eastAsia="en-US" w:bidi="ar-SA"/>
      </w:rPr>
    </w:lvl>
    <w:lvl w:ilvl="6" w:tplc="21A66402">
      <w:numFmt w:val="bullet"/>
      <w:lvlText w:val="•"/>
      <w:lvlJc w:val="left"/>
      <w:pPr>
        <w:ind w:left="5749" w:hanging="284"/>
      </w:pPr>
      <w:rPr>
        <w:rFonts w:hint="default"/>
        <w:lang w:val="id" w:eastAsia="en-US" w:bidi="ar-SA"/>
      </w:rPr>
    </w:lvl>
    <w:lvl w:ilvl="7" w:tplc="0322672E">
      <w:numFmt w:val="bullet"/>
      <w:lvlText w:val="•"/>
      <w:lvlJc w:val="left"/>
      <w:pPr>
        <w:ind w:left="6499" w:hanging="284"/>
      </w:pPr>
      <w:rPr>
        <w:rFonts w:hint="default"/>
        <w:lang w:val="id" w:eastAsia="en-US" w:bidi="ar-SA"/>
      </w:rPr>
    </w:lvl>
    <w:lvl w:ilvl="8" w:tplc="B2447D92">
      <w:numFmt w:val="bullet"/>
      <w:lvlText w:val="•"/>
      <w:lvlJc w:val="left"/>
      <w:pPr>
        <w:ind w:left="7249" w:hanging="284"/>
      </w:pPr>
      <w:rPr>
        <w:rFonts w:hint="default"/>
        <w:lang w:val="id" w:eastAsia="en-US" w:bidi="ar-SA"/>
      </w:rPr>
    </w:lvl>
  </w:abstractNum>
  <w:abstractNum w:abstractNumId="6" w15:restartNumberingAfterBreak="0">
    <w:nsid w:val="7CAA6452"/>
    <w:multiLevelType w:val="hybridMultilevel"/>
    <w:tmpl w:val="A260D1F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num w:numId="1" w16cid:durableId="1584221968">
    <w:abstractNumId w:val="5"/>
  </w:num>
  <w:num w:numId="2" w16cid:durableId="1904023400">
    <w:abstractNumId w:val="0"/>
  </w:num>
  <w:num w:numId="3" w16cid:durableId="1339500920">
    <w:abstractNumId w:val="6"/>
  </w:num>
  <w:num w:numId="4" w16cid:durableId="1111776111">
    <w:abstractNumId w:val="4"/>
  </w:num>
  <w:num w:numId="5" w16cid:durableId="1898544517">
    <w:abstractNumId w:val="2"/>
  </w:num>
  <w:num w:numId="6" w16cid:durableId="1204177774">
    <w:abstractNumId w:val="3"/>
  </w:num>
  <w:num w:numId="7" w16cid:durableId="2006323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4F6"/>
    <w:rsid w:val="000009A0"/>
    <w:rsid w:val="00013837"/>
    <w:rsid w:val="000156FF"/>
    <w:rsid w:val="000202B8"/>
    <w:rsid w:val="0002626E"/>
    <w:rsid w:val="0003445E"/>
    <w:rsid w:val="00055074"/>
    <w:rsid w:val="000834B8"/>
    <w:rsid w:val="000A1DB4"/>
    <w:rsid w:val="000B41AB"/>
    <w:rsid w:val="000C6AA1"/>
    <w:rsid w:val="000D0CA8"/>
    <w:rsid w:val="000D2E18"/>
    <w:rsid w:val="00103168"/>
    <w:rsid w:val="001063E4"/>
    <w:rsid w:val="00115152"/>
    <w:rsid w:val="00120FF5"/>
    <w:rsid w:val="00126272"/>
    <w:rsid w:val="00127232"/>
    <w:rsid w:val="001313BC"/>
    <w:rsid w:val="0013283A"/>
    <w:rsid w:val="00134AD4"/>
    <w:rsid w:val="00137664"/>
    <w:rsid w:val="001378C1"/>
    <w:rsid w:val="00154A70"/>
    <w:rsid w:val="00157D5D"/>
    <w:rsid w:val="00160643"/>
    <w:rsid w:val="00164CF6"/>
    <w:rsid w:val="00174D9E"/>
    <w:rsid w:val="0019225E"/>
    <w:rsid w:val="0019343C"/>
    <w:rsid w:val="00197FBB"/>
    <w:rsid w:val="001B6551"/>
    <w:rsid w:val="001B6FA6"/>
    <w:rsid w:val="001B759E"/>
    <w:rsid w:val="001C4BF2"/>
    <w:rsid w:val="001C5449"/>
    <w:rsid w:val="001C643D"/>
    <w:rsid w:val="001E6321"/>
    <w:rsid w:val="001E696D"/>
    <w:rsid w:val="001F232A"/>
    <w:rsid w:val="001F246A"/>
    <w:rsid w:val="001F7A05"/>
    <w:rsid w:val="00207745"/>
    <w:rsid w:val="00240151"/>
    <w:rsid w:val="00240761"/>
    <w:rsid w:val="00240DFC"/>
    <w:rsid w:val="00240EBA"/>
    <w:rsid w:val="002413FA"/>
    <w:rsid w:val="002705C2"/>
    <w:rsid w:val="00280707"/>
    <w:rsid w:val="002B4A17"/>
    <w:rsid w:val="002B6EE5"/>
    <w:rsid w:val="002D31B0"/>
    <w:rsid w:val="002F6DE5"/>
    <w:rsid w:val="00322BD2"/>
    <w:rsid w:val="00324D06"/>
    <w:rsid w:val="00330053"/>
    <w:rsid w:val="003374F0"/>
    <w:rsid w:val="00360639"/>
    <w:rsid w:val="00370A93"/>
    <w:rsid w:val="00370CE3"/>
    <w:rsid w:val="003808DA"/>
    <w:rsid w:val="003A2DFA"/>
    <w:rsid w:val="003B07A7"/>
    <w:rsid w:val="003D518F"/>
    <w:rsid w:val="00413D08"/>
    <w:rsid w:val="00433E43"/>
    <w:rsid w:val="00436471"/>
    <w:rsid w:val="00437BF4"/>
    <w:rsid w:val="00441FA8"/>
    <w:rsid w:val="00444C27"/>
    <w:rsid w:val="00476D26"/>
    <w:rsid w:val="00484F2C"/>
    <w:rsid w:val="004953BD"/>
    <w:rsid w:val="004B53AC"/>
    <w:rsid w:val="004B697C"/>
    <w:rsid w:val="004B7223"/>
    <w:rsid w:val="004D5FBE"/>
    <w:rsid w:val="004E3D39"/>
    <w:rsid w:val="005259E2"/>
    <w:rsid w:val="005347C8"/>
    <w:rsid w:val="00547AFC"/>
    <w:rsid w:val="0056347A"/>
    <w:rsid w:val="005660CD"/>
    <w:rsid w:val="005D40C3"/>
    <w:rsid w:val="005E098C"/>
    <w:rsid w:val="005E23C9"/>
    <w:rsid w:val="005E7450"/>
    <w:rsid w:val="006068BF"/>
    <w:rsid w:val="00615ACD"/>
    <w:rsid w:val="006215C4"/>
    <w:rsid w:val="00637576"/>
    <w:rsid w:val="00643837"/>
    <w:rsid w:val="00650AE5"/>
    <w:rsid w:val="00662EA0"/>
    <w:rsid w:val="00670C12"/>
    <w:rsid w:val="00684EBE"/>
    <w:rsid w:val="006B2681"/>
    <w:rsid w:val="006C21A6"/>
    <w:rsid w:val="006C58D2"/>
    <w:rsid w:val="006D09FE"/>
    <w:rsid w:val="006D4DC1"/>
    <w:rsid w:val="006D790A"/>
    <w:rsid w:val="006E1A95"/>
    <w:rsid w:val="006E3A58"/>
    <w:rsid w:val="006E4968"/>
    <w:rsid w:val="006E5396"/>
    <w:rsid w:val="00704B22"/>
    <w:rsid w:val="00706611"/>
    <w:rsid w:val="007131A4"/>
    <w:rsid w:val="00745360"/>
    <w:rsid w:val="00757509"/>
    <w:rsid w:val="00772E7C"/>
    <w:rsid w:val="007771E3"/>
    <w:rsid w:val="0079053E"/>
    <w:rsid w:val="007A354C"/>
    <w:rsid w:val="007B6DFF"/>
    <w:rsid w:val="007D1A39"/>
    <w:rsid w:val="007D2783"/>
    <w:rsid w:val="007E1CA1"/>
    <w:rsid w:val="007E6EDD"/>
    <w:rsid w:val="007F6696"/>
    <w:rsid w:val="007F6886"/>
    <w:rsid w:val="007F7C04"/>
    <w:rsid w:val="00807399"/>
    <w:rsid w:val="008223C8"/>
    <w:rsid w:val="00822B5E"/>
    <w:rsid w:val="008232A6"/>
    <w:rsid w:val="0082602C"/>
    <w:rsid w:val="008564F6"/>
    <w:rsid w:val="008B3C88"/>
    <w:rsid w:val="008B70C2"/>
    <w:rsid w:val="008D6430"/>
    <w:rsid w:val="00901583"/>
    <w:rsid w:val="00927B30"/>
    <w:rsid w:val="00933C27"/>
    <w:rsid w:val="00936A20"/>
    <w:rsid w:val="00945813"/>
    <w:rsid w:val="0096026D"/>
    <w:rsid w:val="00990784"/>
    <w:rsid w:val="009A09B0"/>
    <w:rsid w:val="009A7316"/>
    <w:rsid w:val="009B3FC1"/>
    <w:rsid w:val="009B609C"/>
    <w:rsid w:val="009C3DF7"/>
    <w:rsid w:val="009D181E"/>
    <w:rsid w:val="009D3EB3"/>
    <w:rsid w:val="009D4305"/>
    <w:rsid w:val="009D6973"/>
    <w:rsid w:val="009E5AA1"/>
    <w:rsid w:val="00A05FF0"/>
    <w:rsid w:val="00A374E3"/>
    <w:rsid w:val="00A449B2"/>
    <w:rsid w:val="00A46601"/>
    <w:rsid w:val="00A553FB"/>
    <w:rsid w:val="00A65472"/>
    <w:rsid w:val="00A83466"/>
    <w:rsid w:val="00AA3DB2"/>
    <w:rsid w:val="00AB05F8"/>
    <w:rsid w:val="00AC07CD"/>
    <w:rsid w:val="00AC1D90"/>
    <w:rsid w:val="00AC5986"/>
    <w:rsid w:val="00AC5EA1"/>
    <w:rsid w:val="00AD377A"/>
    <w:rsid w:val="00AE2433"/>
    <w:rsid w:val="00AE24C7"/>
    <w:rsid w:val="00B15BD3"/>
    <w:rsid w:val="00B15C3B"/>
    <w:rsid w:val="00B16287"/>
    <w:rsid w:val="00B21CF0"/>
    <w:rsid w:val="00B26B39"/>
    <w:rsid w:val="00B402A4"/>
    <w:rsid w:val="00B4280B"/>
    <w:rsid w:val="00B511BC"/>
    <w:rsid w:val="00B5379B"/>
    <w:rsid w:val="00B55095"/>
    <w:rsid w:val="00B553FD"/>
    <w:rsid w:val="00B56CDD"/>
    <w:rsid w:val="00B63DD2"/>
    <w:rsid w:val="00B665AE"/>
    <w:rsid w:val="00B72609"/>
    <w:rsid w:val="00B74BAD"/>
    <w:rsid w:val="00B83A2B"/>
    <w:rsid w:val="00B86AC5"/>
    <w:rsid w:val="00BC06A4"/>
    <w:rsid w:val="00BD13F0"/>
    <w:rsid w:val="00C14E3E"/>
    <w:rsid w:val="00C32BB1"/>
    <w:rsid w:val="00C41FFA"/>
    <w:rsid w:val="00C571B4"/>
    <w:rsid w:val="00C605C0"/>
    <w:rsid w:val="00C626BD"/>
    <w:rsid w:val="00C95A64"/>
    <w:rsid w:val="00CB058B"/>
    <w:rsid w:val="00CF3A84"/>
    <w:rsid w:val="00CF4DC5"/>
    <w:rsid w:val="00D0228F"/>
    <w:rsid w:val="00D06F1F"/>
    <w:rsid w:val="00D108BD"/>
    <w:rsid w:val="00D55875"/>
    <w:rsid w:val="00D57801"/>
    <w:rsid w:val="00D77A01"/>
    <w:rsid w:val="00D8246A"/>
    <w:rsid w:val="00D82A5C"/>
    <w:rsid w:val="00D86656"/>
    <w:rsid w:val="00D97DC8"/>
    <w:rsid w:val="00DA7F9B"/>
    <w:rsid w:val="00DD3D6E"/>
    <w:rsid w:val="00DD3F54"/>
    <w:rsid w:val="00E32704"/>
    <w:rsid w:val="00E63B5D"/>
    <w:rsid w:val="00E75C6B"/>
    <w:rsid w:val="00E93EE7"/>
    <w:rsid w:val="00EA3BD9"/>
    <w:rsid w:val="00EA79A8"/>
    <w:rsid w:val="00EB5EF1"/>
    <w:rsid w:val="00ED3590"/>
    <w:rsid w:val="00EE5D76"/>
    <w:rsid w:val="00EF2B58"/>
    <w:rsid w:val="00EF2C98"/>
    <w:rsid w:val="00EF4CE5"/>
    <w:rsid w:val="00EF5A6A"/>
    <w:rsid w:val="00EF7212"/>
    <w:rsid w:val="00F043CF"/>
    <w:rsid w:val="00F04922"/>
    <w:rsid w:val="00F23A14"/>
    <w:rsid w:val="00F37483"/>
    <w:rsid w:val="00F55EC4"/>
    <w:rsid w:val="00F60952"/>
    <w:rsid w:val="00F61E08"/>
    <w:rsid w:val="00F66319"/>
    <w:rsid w:val="00F756C2"/>
    <w:rsid w:val="00F8371D"/>
    <w:rsid w:val="00FC5363"/>
    <w:rsid w:val="00FE338A"/>
    <w:rsid w:val="00FF2A92"/>
    <w:rsid w:val="00FF54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872C3A"/>
  <w15:docId w15:val="{EAA2D183-406F-4592-9B91-EB0CCE36F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5C4"/>
  </w:style>
  <w:style w:type="paragraph" w:styleId="Heading1">
    <w:name w:val="heading 1"/>
    <w:basedOn w:val="Normal"/>
    <w:link w:val="Heading1Char"/>
    <w:uiPriority w:val="9"/>
    <w:qFormat/>
    <w:rsid w:val="008564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5C4"/>
    <w:pPr>
      <w:ind w:left="720"/>
      <w:contextualSpacing/>
    </w:pPr>
  </w:style>
  <w:style w:type="character" w:customStyle="1" w:styleId="Heading1Char">
    <w:name w:val="Heading 1 Char"/>
    <w:basedOn w:val="DefaultParagraphFont"/>
    <w:link w:val="Heading1"/>
    <w:uiPriority w:val="9"/>
    <w:rsid w:val="008564F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564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64F6"/>
    <w:rPr>
      <w:color w:val="0000FF"/>
      <w:u w:val="single"/>
    </w:rPr>
  </w:style>
  <w:style w:type="paragraph" w:styleId="FootnoteText">
    <w:name w:val="footnote text"/>
    <w:aliases w:val="Char Char Char, Char Char Char, Char,Footnote Text Char Char,Footnote Text Char Char Char Char Char,Footnote Text Char Char Char Char Char Char Char Char,Footnote Text Char Char Char Char Char Char Char Char Char Char Char Char Char Char"/>
    <w:basedOn w:val="Normal"/>
    <w:link w:val="FootnoteTextChar"/>
    <w:uiPriority w:val="99"/>
    <w:unhideWhenUsed/>
    <w:rsid w:val="008564F6"/>
    <w:pPr>
      <w:spacing w:after="0" w:line="240" w:lineRule="auto"/>
    </w:pPr>
    <w:rPr>
      <w:sz w:val="20"/>
      <w:szCs w:val="20"/>
    </w:rPr>
  </w:style>
  <w:style w:type="character" w:customStyle="1" w:styleId="FootnoteTextChar">
    <w:name w:val="Footnote Text Char"/>
    <w:aliases w:val="Char Char Char Char, Char Char Char Char, Char Char,Footnote Text Char Char Char,Footnote Text Char Char Char Char Char Char,Footnote Text Char Char Char Char Char Char Char Char Char"/>
    <w:basedOn w:val="DefaultParagraphFont"/>
    <w:link w:val="FootnoteText"/>
    <w:uiPriority w:val="99"/>
    <w:rsid w:val="008564F6"/>
    <w:rPr>
      <w:sz w:val="20"/>
      <w:szCs w:val="20"/>
    </w:rPr>
  </w:style>
  <w:style w:type="character" w:styleId="FootnoteReference">
    <w:name w:val="footnote reference"/>
    <w:basedOn w:val="DefaultParagraphFont"/>
    <w:uiPriority w:val="99"/>
    <w:unhideWhenUsed/>
    <w:rsid w:val="008564F6"/>
    <w:rPr>
      <w:vertAlign w:val="superscript"/>
    </w:rPr>
  </w:style>
  <w:style w:type="table" w:styleId="TableGrid">
    <w:name w:val="Table Grid"/>
    <w:basedOn w:val="TableNormal"/>
    <w:uiPriority w:val="59"/>
    <w:rsid w:val="00856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C5986"/>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C5986"/>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990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784"/>
  </w:style>
  <w:style w:type="paragraph" w:styleId="Footer">
    <w:name w:val="footer"/>
    <w:basedOn w:val="Normal"/>
    <w:link w:val="FooterChar"/>
    <w:uiPriority w:val="99"/>
    <w:unhideWhenUsed/>
    <w:rsid w:val="00990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784"/>
  </w:style>
  <w:style w:type="paragraph" w:styleId="Bibliography">
    <w:name w:val="Bibliography"/>
    <w:basedOn w:val="Normal"/>
    <w:next w:val="Normal"/>
    <w:uiPriority w:val="37"/>
    <w:semiHidden/>
    <w:unhideWhenUsed/>
    <w:rsid w:val="00F04922"/>
  </w:style>
  <w:style w:type="paragraph" w:customStyle="1" w:styleId="TableParagraph">
    <w:name w:val="Table Paragraph"/>
    <w:basedOn w:val="Normal"/>
    <w:uiPriority w:val="1"/>
    <w:qFormat/>
    <w:rsid w:val="000834B8"/>
    <w:pPr>
      <w:widowControl w:val="0"/>
      <w:autoSpaceDE w:val="0"/>
      <w:autoSpaceDN w:val="0"/>
      <w:spacing w:after="0" w:line="273" w:lineRule="exact"/>
      <w:ind w:left="110"/>
    </w:pPr>
    <w:rPr>
      <w:rFonts w:ascii="Times New Roman" w:eastAsia="Times New Roman" w:hAnsi="Times New Roman" w:cs="Times New Roman"/>
      <w:lang w:val="id"/>
    </w:rPr>
  </w:style>
  <w:style w:type="character" w:customStyle="1" w:styleId="fontstyle01">
    <w:name w:val="fontstyle01"/>
    <w:rsid w:val="001063E4"/>
    <w:rPr>
      <w:rFonts w:ascii="Times New Roman" w:hAnsi="Times New Roman" w:cs="Times New Roman" w:hint="default"/>
      <w:b w:val="0"/>
      <w:bCs w:val="0"/>
      <w:i w:val="0"/>
      <w:iCs w:val="0"/>
      <w:color w:val="000000"/>
      <w:sz w:val="20"/>
      <w:szCs w:val="20"/>
    </w:rPr>
  </w:style>
  <w:style w:type="character" w:styleId="Strong">
    <w:name w:val="Strong"/>
    <w:basedOn w:val="DefaultParagraphFont"/>
    <w:uiPriority w:val="22"/>
    <w:qFormat/>
    <w:rsid w:val="00EF7212"/>
    <w:rPr>
      <w:b/>
      <w:bCs/>
    </w:rPr>
  </w:style>
  <w:style w:type="character" w:styleId="Emphasis">
    <w:name w:val="Emphasis"/>
    <w:basedOn w:val="DefaultParagraphFont"/>
    <w:uiPriority w:val="20"/>
    <w:qFormat/>
    <w:rsid w:val="00D57801"/>
    <w:rPr>
      <w:i/>
      <w:iCs/>
    </w:rPr>
  </w:style>
  <w:style w:type="character" w:styleId="UnresolvedMention">
    <w:name w:val="Unresolved Mention"/>
    <w:basedOn w:val="DefaultParagraphFont"/>
    <w:uiPriority w:val="99"/>
    <w:semiHidden/>
    <w:unhideWhenUsed/>
    <w:rsid w:val="00D82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38220">
      <w:bodyDiv w:val="1"/>
      <w:marLeft w:val="0"/>
      <w:marRight w:val="0"/>
      <w:marTop w:val="0"/>
      <w:marBottom w:val="0"/>
      <w:divBdr>
        <w:top w:val="none" w:sz="0" w:space="0" w:color="auto"/>
        <w:left w:val="none" w:sz="0" w:space="0" w:color="auto"/>
        <w:bottom w:val="none" w:sz="0" w:space="0" w:color="auto"/>
        <w:right w:val="none" w:sz="0" w:space="0" w:color="auto"/>
      </w:divBdr>
    </w:div>
    <w:div w:id="1453398836">
      <w:bodyDiv w:val="1"/>
      <w:marLeft w:val="0"/>
      <w:marRight w:val="0"/>
      <w:marTop w:val="0"/>
      <w:marBottom w:val="0"/>
      <w:divBdr>
        <w:top w:val="none" w:sz="0" w:space="0" w:color="auto"/>
        <w:left w:val="none" w:sz="0" w:space="0" w:color="auto"/>
        <w:bottom w:val="none" w:sz="0" w:space="0" w:color="auto"/>
        <w:right w:val="none" w:sz="0" w:space="0" w:color="auto"/>
      </w:divBdr>
    </w:div>
    <w:div w:id="1515798961">
      <w:bodyDiv w:val="1"/>
      <w:marLeft w:val="0"/>
      <w:marRight w:val="0"/>
      <w:marTop w:val="0"/>
      <w:marBottom w:val="0"/>
      <w:divBdr>
        <w:top w:val="none" w:sz="0" w:space="0" w:color="auto"/>
        <w:left w:val="none" w:sz="0" w:space="0" w:color="auto"/>
        <w:bottom w:val="none" w:sz="0" w:space="0" w:color="auto"/>
        <w:right w:val="none" w:sz="0" w:space="0" w:color="auto"/>
      </w:divBdr>
    </w:div>
    <w:div w:id="1781412873">
      <w:bodyDiv w:val="1"/>
      <w:marLeft w:val="0"/>
      <w:marRight w:val="0"/>
      <w:marTop w:val="0"/>
      <w:marBottom w:val="0"/>
      <w:divBdr>
        <w:top w:val="none" w:sz="0" w:space="0" w:color="auto"/>
        <w:left w:val="none" w:sz="0" w:space="0" w:color="auto"/>
        <w:bottom w:val="none" w:sz="0" w:space="0" w:color="auto"/>
        <w:right w:val="none" w:sz="0" w:space="0" w:color="auto"/>
      </w:divBdr>
    </w:div>
    <w:div w:id="203334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Sug18</b:Tag>
    <b:SourceType>Book</b:SourceType>
    <b:Guid>{2C846233-F68D-4643-A5BC-1B37A92835C8}</b:Guid>
    <b:Author>
      <b:Author>
        <b:NameList>
          <b:Person>
            <b:Last>Sugiyono</b:Last>
          </b:Person>
        </b:NameList>
      </b:Author>
    </b:Author>
    <b:Title>Metode Penelitian kualitatif (untuk penelitian yang bersifat eksploratif, enterpretif, interaktif, dan konstruktif)</b:Title>
    <b:Year>2018</b:Year>
    <b:City>Bandung </b:City>
    <b:Publisher>ALFABETA</b:Publisher>
    <b:RefOrder>1</b:RefOrder>
  </b:Source>
  <b:Source>
    <b:Tag>kho19</b:Tag>
    <b:SourceType>JournalArticle</b:SourceType>
    <b:Guid>{4A285687-B0F3-4075-8EC3-0FF73E9AFC58}</b:Guid>
    <b:Title>Membaca Hambatan implementasi Pariwisata Bangkalan</b:Title>
    <b:Year>Agustus 2019</b:Year>
    <b:Author>
      <b:Author>
        <b:NameList>
          <b:Person>
            <b:Last>Nasik</b:Last>
            <b:First>khoirun</b:First>
          </b:Person>
        </b:NameList>
      </b:Author>
    </b:Author>
    <b:JournalName>Jurnal Ekonomi &amp; keuangan Islam</b:JournalName>
    <b:Pages>Vol 6 No 2 , 11-21</b:Pages>
    <b:RefOrder>2</b:RefOrder>
  </b:Source>
  <b:Source>
    <b:Tag>Ach20</b:Tag>
    <b:SourceType>JournalArticle</b:SourceType>
    <b:Guid>{E4C73E60-D2CD-4FFF-97BE-2A851DD5357F}</b:Guid>
    <b:Author>
      <b:Author>
        <b:NameList>
          <b:Person>
            <b:Last>Achmad Badarus Syamsi</b:Last>
            <b:First>Adiyanto</b:First>
          </b:Person>
        </b:NameList>
      </b:Author>
    </b:Author>
    <b:Title>Model partisipasi Mayarakat Dalam Penentuan Kebijakan Pariwisata Halal Di Madura Berbasis Nilai Keislaman Dan Hukum positif</b:Title>
    <b:JournalName>Jurnal Hukum Dan Ekonomi Islam</b:JournalName>
    <b:Year>2020</b:Year>
    <b:Pages>Vol 19, No.2 p.221-469</b:Pages>
    <b:RefOrder>3</b:RefOrder>
  </b:Source>
  <b:Source>
    <b:Tag>Tri20</b:Tag>
    <b:SourceType>BookSection</b:SourceType>
    <b:Guid>{57D6190A-8C43-4AF6-87A5-CDC2751736F3}</b:Guid>
    <b:Title>Ekowisata Kabupaten Bangkalan</b:Title>
    <b:Year>Februari 2020 </b:Year>
    <b:Pages>VI +146 Halaman</b:Pages>
    <b:Author>
      <b:Author>
        <b:NameList>
          <b:Person>
            <b:Last>Prabowo</b:Last>
            <b:First>Triptono</b:First>
            <b:Middle>Adi</b:Middle>
          </b:Person>
        </b:NameList>
      </b:Author>
    </b:Author>
    <b:City>Veteran 53 A Lamongan</b:City>
    <b:RefOrder>4</b:RefOrder>
  </b:Source>
  <b:Source>
    <b:Tag>Elp19</b:Tag>
    <b:SourceType>JournalArticle</b:SourceType>
    <b:Guid>{473176ED-9853-4C88-8D9E-B501D6CA5860}</b:Guid>
    <b:Title>Strategis kementrian Pariwisata Indonesia Dalam meningkatkan Branding Wisata Halal</b:Title>
    <b:Year>2019</b:Year>
    <b:Pages>Vol 7 No 2 ,2019. Halaman 87-95</b:Pages>
    <b:Author>
      <b:Author>
        <b:NameList>
          <b:Person>
            <b:Last>Hermawan</b:Last>
            <b:First>Elpa</b:First>
          </b:Person>
        </b:NameList>
      </b:Author>
    </b:Author>
    <b:JournalName>Jurnal Imu Manjemen dan Akuntansi</b:JournalName>
    <b:RefOrder>5</b:RefOrder>
  </b:Source>
  <b:Source>
    <b:Tag>Muh21</b:Tag>
    <b:SourceType>JournalArticle</b:SourceType>
    <b:Guid>{273E45B7-AC43-4CF7-8DE2-4EE888CC67DA}</b:Guid>
    <b:Author>
      <b:Author>
        <b:NameList>
          <b:Person>
            <b:Last>faraby</b:Last>
            <b:First>Muhammad</b:First>
            <b:Middle>ersya</b:Middle>
          </b:Person>
        </b:NameList>
      </b:Author>
    </b:Author>
    <b:Title>Potensi Kabupaten Bangkalan Menjadi Destinasi Wisata Halal</b:Title>
    <b:JournalName>Jurnal ilmiah Ekonomi Islam</b:JournalName>
    <b:Year>2021</b:Year>
    <b:Pages>7 (01) , 2021,67-74</b:Pages>
    <b:RefOrder>6</b:RefOrder>
  </b:Source>
  <b:Source>
    <b:Tag>MZa18</b:Tag>
    <b:SourceType>JournalArticle</b:SourceType>
    <b:Guid>{45ADEE4D-EE40-4C2F-837B-C92EDB8F0C62}</b:Guid>
    <b:Author>
      <b:Author>
        <b:NameList>
          <b:Person>
            <b:Last>Lubis</b:Last>
            <b:First>M.Zaky</b:First>
            <b:Middle>Mubarak</b:Middle>
          </b:Person>
        </b:NameList>
      </b:Author>
    </b:Author>
    <b:Title>Prospek Destinasi Halal berbasis Ovop</b:Title>
    <b:JournalName>Jurnal Kajian Ekonomi Islam</b:JournalName>
    <b:Year>Januari-Juni 2018</b:Year>
    <b:Pages>Volume 3 Nomer 1</b:Pages>
    <b:RefOrder>7</b:RefOrder>
  </b:Source>
  <b:Source>
    <b:Tag>MPu09</b:Tag>
    <b:SourceType>Book</b:SourceType>
    <b:Guid>{010BC669-A915-4FF5-B81C-D48C27975FB2}</b:Guid>
    <b:Author>
      <b:Author>
        <b:NameList>
          <b:Person>
            <b:Last>Darmo</b:Last>
            <b:First>M.Pujo</b:First>
          </b:Person>
        </b:NameList>
      </b:Author>
    </b:Author>
    <b:Title>Partisipasi Masyarakat Dalam Pembentukan Peraturan Daerah Oleh DPRD Dan Pemeirntah Kabupaten Klaten Provinsi Jawa Tengah</b:Title>
    <b:Year>Februari 2009</b:Year>
    <b:City>Yogyakarta 55581</b:City>
    <b:Publisher>CV BUDI UTAMA</b:Publisher>
    <b:RefOrder>8</b:RefOrder>
  </b:Source>
  <b:Source>
    <b:Tag>Ami13</b:Tag>
    <b:SourceType>JournalArticle</b:SourceType>
    <b:Guid>{BFFC7E4B-4056-4342-8009-E31BFF078DA3}</b:Guid>
    <b:Author>
      <b:Author>
        <b:NameList>
          <b:Person>
            <b:Last>Muhiddin</b:Last>
            <b:First>Amir</b:First>
          </b:Person>
        </b:NameList>
      </b:Author>
    </b:Author>
    <b:Title>Partisipasi Masyarakat dalam pembuatan peraturan daerah (PERDA)</b:Title>
    <b:Year>April 2013</b:Year>
    <b:Pages>Vol III No.1</b:Pages>
    <b:RefOrder>9</b:RefOrder>
  </b:Source>
  <b:Source>
    <b:Tag>Yud21</b:Tag>
    <b:SourceType>JournalArticle</b:SourceType>
    <b:Guid>{8EF8A6B3-9A26-4CA7-819A-E28C6CBDBD8C}</b:Guid>
    <b:Author>
      <b:Author>
        <b:NameList>
          <b:Person>
            <b:Last>Yudiyanto</b:Last>
          </b:Person>
        </b:NameList>
      </b:Author>
    </b:Author>
    <b:Title>Partisipasi Masyarakat Dalam pembentukan Program Legislasi Daerah</b:Title>
    <b:JournalName>Flat justicia jurnal Ilmu Hukum</b:JournalName>
    <b:Year>Mei-Agustus 2021</b:Year>
    <b:Pages>Volume 5 No.2 ISSN 1978-5186</b:Pages>
    <b:RefOrder>10</b:RefOrder>
  </b:Source>
  <b:Source>
    <b:Tag>Rah12</b:Tag>
    <b:SourceType>JournalArticle</b:SourceType>
    <b:Guid>{D25D8E11-1A43-4F6E-9605-151EB8E6BAE6}</b:Guid>
    <b:Author>
      <b:Author>
        <b:NameList>
          <b:Person>
            <b:Last>Jati</b:Last>
            <b:First>Rahendro</b:First>
          </b:Person>
        </b:NameList>
      </b:Author>
    </b:Author>
    <b:Title>Partisipasi Masyarakat Dalam Proses Pembentukan Undang-Undang Yang Responsif</b:Title>
    <b:Year>Desember 2012</b:Year>
    <b:Pages>Volume 1 Nomor 3</b:Pages>
    <b:JournalName>Jurnal Rechtsvinding Media Pembinaan Hukum Nasional</b:JournalName>
    <b:RefOrder>11</b:RefOrder>
  </b:Source>
  <b:Source>
    <b:Tag>Iza12</b:Tag>
    <b:SourceType>JournalArticle</b:SourceType>
    <b:Guid>{A0A42BB3-E6B9-49C0-B3C7-3A671E23ED3D}</b:Guid>
    <b:Author>
      <b:Author>
        <b:NameList>
          <b:Person>
            <b:Last>R.S</b:Last>
            <b:First>Iza</b:First>
            <b:Middle>Rumesten</b:Middle>
          </b:Person>
        </b:NameList>
      </b:Author>
    </b:Author>
    <b:Title>Model ideal Partisipasi Masyarakat Dalam Pembentukan Peraturan Daerah</b:Title>
    <b:JournalName>Jurnal Dinamika Hukum</b:JournalName>
    <b:Year>Januari 2012</b:Year>
    <b:Pages>Vol 12 No 1</b:Pages>
    <b:RefOrder>12</b:RefOrder>
  </b:Source>
  <b:Source>
    <b:Tag>Muh20</b:Tag>
    <b:SourceType>JournalArticle</b:SourceType>
    <b:Guid>{3ABDA1B2-9AE5-4F83-9759-1510E4DE33EE}</b:Guid>
    <b:Author>
      <b:Author>
        <b:NameList>
          <b:Person>
            <b:Last>Ahmad</b:Last>
            <b:First>Muhammad</b:First>
            <b:Middle>Al Habsy</b:Middle>
          </b:Person>
        </b:NameList>
      </b:Author>
    </b:Author>
    <b:Title>Implementasi Peran Serta Masyarakat Dalam Pembentukan Peraturan daerah DiKota Makassar</b:Title>
    <b:JournalName>Kalabbirang Law Journal</b:JournalName>
    <b:Year>Oktober 2020</b:Year>
    <b:Pages>Volume 2 Nomor 2</b:Pages>
    <b:RefOrder>13</b:RefOrder>
  </b:Source>
  <b:Source>
    <b:Tag>Mut20</b:Tag>
    <b:SourceType>JournalArticle</b:SourceType>
    <b:Guid>{EFD7DFF0-5227-4ABC-B349-8E3C83D65FB4}</b:Guid>
    <b:Author>
      <b:Author>
        <b:NameList>
          <b:Person>
            <b:Last>Nasution</b:Last>
            <b:First>Mutiaralinda</b:First>
            <b:Middle>Sartika</b:Middle>
          </b:Person>
        </b:NameList>
      </b:Author>
    </b:Author>
    <b:Title>Pengembangan Wisata Halal untuk Kesejahteraan Masyarakat DiKota Mataram</b:Title>
    <b:JournalName>Jurnal Hukum Dan Ekonomi Islam</b:JournalName>
    <b:Year>2020</b:Year>
    <b:Pages>Vol 19 No 2</b:Pages>
    <b:RefOrder>14</b:RefOrder>
  </b:Source>
  <b:Source>
    <b:Tag>Sof22</b:Tag>
    <b:SourceType>JournalArticle</b:SourceType>
    <b:Guid>{AA2A6EF2-6782-4CB8-9B9A-C403BE4E4250}</b:Guid>
    <b:Author>
      <b:Author>
        <b:NameList>
          <b:Person>
            <b:Last>Sofwan</b:Last>
          </b:Person>
        </b:NameList>
      </b:Author>
    </b:Author>
    <b:Title>Urgensi Partisipasi Publik Dalam Pembentukan Peraturan Daerah</b:Title>
    <b:JournalName>Jurnal Jatiswara</b:JournalName>
    <b:Year>Maret 2022</b:Year>
    <b:Pages>Vol 37 No 1</b:Pages>
    <b:RefOrder>15</b:RefOrder>
  </b:Source>
  <b:Source>
    <b:Tag>Ahm13</b:Tag>
    <b:SourceType>JournalArticle</b:SourceType>
    <b:Guid>{B5B4BCA2-50DB-4A3A-AEB5-05CAEC00BAD0}</b:Guid>
    <b:Author>
      <b:Author>
        <b:NameList>
          <b:Person>
            <b:Last>Soleh</b:Last>
            <b:First>Ahmad</b:First>
          </b:Person>
        </b:NameList>
      </b:Author>
    </b:Author>
    <b:Title>PeranSerta Masyarakat Di DPRD Dalam Pembentukan Peraturan Daerah</b:Title>
    <b:JournalName>Fiat Justisia Jurnal Ilmu Hukum</b:JournalName>
    <b:Year>Mei-Agustus 2013</b:Year>
    <b:Pages>Vol 7 No 2</b:Pages>
    <b:RefOrder>16</b:RefOrder>
  </b:Source>
  <b:Source>
    <b:Tag>Ala20</b:Tag>
    <b:SourceType>JournalArticle</b:SourceType>
    <b:Guid>{068351F7-BE29-4487-B19A-4F88D1D79D54}</b:Guid>
    <b:Author>
      <b:Author>
        <b:NameList>
          <b:Person>
            <b:Last>Aji</b:Last>
            <b:First>Alan</b:First>
            <b:Middle>Bayu</b:Middle>
          </b:Person>
        </b:NameList>
      </b:Author>
    </b:Author>
    <b:Title>Analisis Yuridis Partisipasi Masyarakat Dalam Penyusunan Program Pembentukan Peraturan Daerah</b:Title>
    <b:JournalName>Journal Law, Economics, and English</b:JournalName>
    <b:Year>Desember 2020</b:Year>
    <b:Pages>Vol 1 No 1</b:Pages>
    <b:RefOrder>17</b:RefOrder>
  </b:Source>
  <b:Source>
    <b:Tag>Muh16</b:Tag>
    <b:SourceType>JournalArticle</b:SourceType>
    <b:Guid>{C4E63B38-7303-4328-9D76-60B017EEB533}</b:Guid>
    <b:Author>
      <b:Author>
        <b:NameList>
          <b:Person>
            <b:Last>Nugraha</b:Last>
            <b:First>Muhyar</b:First>
          </b:Person>
        </b:NameList>
      </b:Author>
    </b:Author>
    <b:Title>Partisipasi Masyarakat Dalam Pembentukan Peraturan Daerah</b:Title>
    <b:JournalName>Jurnal Yustisi</b:JournalName>
    <b:Year>Maret 2016</b:Year>
    <b:Pages>Vol 3 No 1</b:Pages>
    <b:RefOrder>18</b:RefOrder>
  </b:Source>
  <b:Source>
    <b:Tag>Hus20</b:Tag>
    <b:SourceType>JournalArticle</b:SourceType>
    <b:Guid>{35142A44-E971-46D9-939F-218CB2535564}</b:Guid>
    <b:Author>
      <b:Author>
        <b:NameList>
          <b:Person>
            <b:Last>Alting</b:Last>
            <b:First>Husen</b:First>
          </b:Person>
        </b:NameList>
      </b:Author>
    </b:Author>
    <b:Title>Perlindungan Hak Prioritas Masyarakat Hukum Adat Dalam Pembangunan pariwisata Berkelanjutan Kota Ternate</b:Title>
    <b:JournalName>Jurnal Penelitian Humano</b:JournalName>
    <b:Year>November 2020</b:Year>
    <b:Pages>Vol 10 No 2</b:Pages>
    <b:RefOrder>19</b:RefOrder>
  </b:Source>
  <b:Source>
    <b:Tag>Sem18</b:Tag>
    <b:SourceType>JournalArticle</b:SourceType>
    <b:Guid>{69D1443C-4B93-44B8-97AB-07E5B15C12CA}</b:Guid>
    <b:Author>
      <b:Author>
        <b:NameList>
          <b:Person>
            <b:Last>Ardianto</b:Last>
            <b:First>Sema</b:First>
          </b:Person>
        </b:NameList>
      </b:Author>
    </b:Author>
    <b:Title>Partisipasi Masyarakat Sebagai Solusi Bagi Problematika Implementasi Peraturan Daerah</b:Title>
    <b:JournalName>Jurnal Hukum Khaira Ummah</b:JournalName>
    <b:Year>Maret 2018</b:Year>
    <b:Pages>Vol 13 No 1</b:Pages>
    <b:RefOrder>20</b:RefOrder>
  </b:Source>
  <b:Source>
    <b:Tag>Mut15</b:Tag>
    <b:SourceType>JournalArticle</b:SourceType>
    <b:Guid>{13E9416D-0B0B-4067-8F29-51286FE35EB3}</b:Guid>
    <b:Author>
      <b:Author>
        <b:NameList>
          <b:Person>
            <b:Last>Rose</b:Last>
            <b:First>Mutia</b:First>
            <b:Middle>Silvia</b:Middle>
          </b:Person>
        </b:NameList>
      </b:Author>
    </b:Author>
    <b:Title>Partisipasi Masyarakat Dalam Pembentukan Peraturan Daerah Tentang Penggunaan Label Batik Pekalongan</b:Title>
    <b:JournalName>Jurnal Pandecta</b:JournalName>
    <b:Year>June 2015</b:Year>
    <b:Pages>Vol 10 No 1</b:Pages>
    <b:RefOrder>21</b:RefOrder>
  </b:Source>
  <b:Source>
    <b:Tag>Ibn21</b:Tag>
    <b:SourceType>JournalArticle</b:SourceType>
    <b:Guid>{E8461F0C-E397-4D12-91FC-86C326154423}</b:Guid>
    <b:Author>
      <b:Author>
        <b:NameList>
          <b:Person>
            <b:Last>Affan</b:Last>
            <b:First>Ibnu</b:First>
          </b:Person>
        </b:NameList>
      </b:Author>
    </b:Author>
    <b:Title>Urgensi Partisipasi Masyarakat Dalam Penyelenggara pemerintahan Daerah</b:Title>
    <b:JournalName>Jural Ilmu Hukum Delegalata</b:JournalName>
    <b:Year>Januari-Juni 2021</b:Year>
    <b:Pages>Vol 6 No 1</b:Pages>
    <b:RefOrder>22</b:RefOrder>
  </b:Source>
  <b:Source>
    <b:Tag>Muh211</b:Tag>
    <b:SourceType>JournalArticle</b:SourceType>
    <b:Guid>{72DCB39A-0C87-4EC5-AFCB-F427FA638182}</b:Guid>
    <b:Author>
      <b:Author>
        <b:NameList>
          <b:Person>
            <b:Last>Sahlil</b:Last>
            <b:First>Muh.</b:First>
          </b:Person>
        </b:NameList>
      </b:Author>
    </b:Author>
    <b:Title>Implementasi Kebijakan Pariwisata Halal Menuju Ekosistem Wisata Rumah Muslim</b:Title>
    <b:JournalName>Jurnal Kebijakan Publik</b:JournalName>
    <b:Year>Oktober 2021</b:Year>
    <b:Pages>Vol 12 No 2 , Hlm 55-112</b:Pages>
    <b:RefOrder>23</b:RefOrder>
  </b:Source>
  <b:Source>
    <b:Tag>Rom18</b:Tag>
    <b:SourceType>JournalArticle</b:SourceType>
    <b:Guid>{571D935B-EB5C-4E46-8BFB-4E687C0F641B}</b:Guid>
    <b:Author>
      <b:Author>
        <b:NameList>
          <b:Person>
            <b:Last>Patra</b:Last>
            <b:First>Rommy</b:First>
          </b:Person>
        </b:NameList>
      </b:Author>
    </b:Author>
    <b:Title>Partisipasi Masyarakat Dalam Pembentukan Peraturan Daerah Berdasarkan Undang-Undang nomor 23 tahun 2014</b:Title>
    <b:JournalName>Tanjungpura Law Journal</b:JournalName>
    <b:Year>Januari 2018</b:Year>
    <b:Pages>Vol 2 No 1 , Hlm 20-43</b:Pages>
    <b:RefOrder>24</b:RefOrder>
  </b:Source>
  <b:Source>
    <b:Tag>Mir19</b:Tag>
    <b:SourceType>JournalArticle</b:SourceType>
    <b:Guid>{6FCE4FCC-E252-4B6D-A9A5-4A3410FADF13}</b:Guid>
    <b:Author>
      <b:Author>
        <b:NameList>
          <b:Person>
            <b:Last>Muhammad</b:Last>
            <b:First>Mirza</b:First>
          </b:Person>
        </b:NameList>
      </b:Author>
    </b:Author>
    <b:Title>Model Partisipasi Masyarakat Kabupaten jepara Dalam Pembentukan Peraturan Daerah (Studi kasus tentang Pembentukan Peraturan Daerah No.9 tahun 2013 Tentang Restribusi Pasar Kabupaten jepara)</b:Title>
    <b:JournalName>State Law Review</b:JournalName>
    <b:Year>Oktober 2019</b:Year>
    <b:Pages>Vol 2 No 1</b:Pages>
    <b:RefOrder>25</b:RefOrder>
  </b:Source>
  <b:Source>
    <b:Tag>Ida20</b:Tag>
    <b:SourceType>JournalArticle</b:SourceType>
    <b:Guid>{E2B933CC-98F2-4BBE-BEB3-5D203558D2F7}</b:Guid>
    <b:Author>
      <b:Author>
        <b:NameList>
          <b:Person>
            <b:Last>Widiati</b:Last>
            <b:First>Ida</b:First>
            <b:Middle>Ayu Putu</b:Middle>
          </b:Person>
        </b:NameList>
      </b:Author>
    </b:Author>
    <b:Title>Partisipasi Masyarakat Dalam Pembentukan Peraturan Daerah Sebagai Upaya Mengasilkan Produk Hukum Responsif</b:Title>
    <b:Year>Januari 2020</b:Year>
    <b:Pages>Vol 3 No 1</b:Pages>
    <b:RefOrder>26</b:RefOrder>
  </b:Source>
  <b:Source>
    <b:Tag>Maw18</b:Tag>
    <b:SourceType>JournalArticle</b:SourceType>
    <b:Guid>{50CA2319-56C0-4433-B904-00F3E8A64AA3}</b:Guid>
    <b:Author>
      <b:Author>
        <b:NameList>
          <b:Person>
            <b:Last>khairi</b:Last>
            <b:First>Mawardi</b:First>
          </b:Person>
        </b:NameList>
      </b:Author>
    </b:Author>
    <b:Title>Partisipasi Masyarakat Dalam upaya Penegakan Hukum Peraturan Daerah Persepektif Teori Negara Hukum</b:Title>
    <b:JournalName>Jurnal Selisik</b:JournalName>
    <b:Year>Juni 2018</b:Year>
    <b:Pages>Vol 3 No 5</b:Pages>
    <b:RefOrder>27</b:RefOrder>
  </b:Source>
  <b:Source>
    <b:Tag>Bus20</b:Tag>
    <b:SourceType>JournalArticle</b:SourceType>
    <b:Guid>{3E737820-3597-42C5-B73B-24D153AEB808}</b:Guid>
    <b:Author>
      <b:Author>
        <b:NameList>
          <b:Person>
            <b:Last>Busaini</b:Last>
          </b:Person>
        </b:NameList>
      </b:Author>
    </b:Author>
    <b:Title>Peran Pemuda Dalam Membangun Citra Pariwisata Halal Di Desa Setanggor</b:Title>
    <b:JournalName>Jurnal Megister Manajemen universitas Mataram</b:JournalName>
    <b:Year>September 2020</b:Year>
    <b:Pages>Volume 9 Issue 3</b:Pages>
    <b:RefOrder>28</b:RefOrder>
  </b:Source>
  <b:Source>
    <b:Tag>Kha21</b:Tag>
    <b:SourceType>JournalArticle</b:SourceType>
    <b:Guid>{0DA3EC9F-F70B-46B7-9CE0-BC4BCA537C22}</b:Guid>
    <b:Author>
      <b:Author>
        <b:NameList>
          <b:Person>
            <b:Last>Assidiq</b:Last>
            <b:First>Khairul</b:First>
            <b:Middle>Amri</b:Middle>
          </b:Person>
        </b:NameList>
      </b:Author>
    </b:Author>
    <b:Title>Peran Pokdarwis Dalam Upaya Mengembangkan Pariwisata Halal Di Desa Setanggor</b:Title>
    <b:JournalName>Jurnal Megister manajemen Universitas Mataram</b:JournalName>
    <b:Year>januari 2021</b:Year>
    <b:Pages>Volume 10 Issue 1a</b:Pages>
    <b:RefOrder>29</b:RefOrder>
  </b:Source>
  <b:Source>
    <b:Tag>Lal18</b:Tag>
    <b:SourceType>JournalArticle</b:SourceType>
    <b:Guid>{CA8FF8F8-3082-423A-AE43-799855E3AE93}</b:Guid>
    <b:Author>
      <b:Author>
        <b:NameList>
          <b:Person>
            <b:Last>Permadi</b:Last>
            <b:First>Lalu</b:First>
            <b:Middle>adi</b:Middle>
          </b:Person>
        </b:NameList>
      </b:Author>
    </b:Author>
    <b:Title>Persepsi Dan Sikap Masyarakat Terhadap Rencana Dikembangkannya Wisata Syariah (Halal Tourism) Di Provinsi Nusa Tenggara Barat</b:Title>
    <b:JournalName>Jurnal Ekonomi dan Keuangan Syariah</b:JournalName>
    <b:Year>Januari 2018</b:Year>
    <b:Pages>Vol 2 No 4 Page 34-53</b:Pages>
    <b:RefOrder>30</b:RefOrder>
  </b:Source>
  <b:Source>
    <b:Tag>Ati19</b:Tag>
    <b:SourceType>JournalArticle</b:SourceType>
    <b:Guid>{3949E384-51E6-49B2-9F5C-046911B9240A}</b:Guid>
    <b:Author>
      <b:Author>
        <b:NameList>
          <b:Person>
            <b:Last>Maulana</b:Last>
            <b:First>Atik</b:First>
            <b:Middle>Kotul</b:Middle>
          </b:Person>
        </b:NameList>
      </b:Author>
    </b:Author>
    <b:Title>Respon Masyarakat Terhadap rencana Pengembangan wisata Halal DiDesa Kamal kecamatan Kamal Kabupaten Bangkalan (Studi Kasus Masyarakat keluarahan kamal Kecamatan kamal Kabupaten Bangkalan)</b:Title>
    <b:JournalName>Jurnal ekonomi dan Keuangan islam</b:JournalName>
    <b:Year>Agustus 2019</b:Year>
    <b:Pages>Vol 6 No 2</b:Pages>
    <b:RefOrder>31</b:RefOrder>
  </b:Source>
  <b:Source>
    <b:Tag>ASa20</b:Tag>
    <b:SourceType>Book</b:SourceType>
    <b:Guid>{B8B3F8FA-79EF-460F-A792-4BCEF091920E}</b:Guid>
    <b:Title>Perundang-Undangan Indonesia (Kajian mengenai ilmu dan teori Perundang-Undangan serta pembentukannya)</b:Title>
    <b:Year>Februari 2020</b:Year>
    <b:Author>
      <b:Author>
        <b:NameList>
          <b:Person>
            <b:Last>R.</b:Last>
            <b:First>A.Sakti</b:First>
            <b:Middle>Ramdhon Syah</b:Middle>
          </b:Person>
        </b:NameList>
      </b:Author>
    </b:Author>
    <b:City>Makassar</b:City>
    <b:RefOrder>32</b:RefOrder>
  </b:Source>
  <b:Source>
    <b:Tag>DrN19</b:Tag>
    <b:SourceType>Book</b:SourceType>
    <b:Guid>{ECDA24DB-EEB1-48B8-85B4-87AE19D115DE}</b:Guid>
    <b:Author>
      <b:Author>
        <b:NameList>
          <b:Person>
            <b:Last>Dr.Ni'matul huda</b:Last>
            <b:First>S.H,M.hum</b:First>
            <b:Middle>&amp; Nazriyah,S.H.,M.H</b:Middle>
          </b:Person>
        </b:NameList>
      </b:Author>
    </b:Author>
    <b:Title>Teori &amp; Pengujian Peraturan Perundang-Undangan</b:Title>
    <b:Year>Desember 2019</b:Year>
    <b:City>Ujungberung Bandung</b:City>
    <b:Publisher>CV.Hikam Media Utama</b:Publisher>
    <b:RefOrder>33</b:RefOrder>
  </b:Source>
  <b:Source>
    <b:Tag>Dar19</b:Tag>
    <b:SourceType>JournalArticle</b:SourceType>
    <b:Guid>{BFA144CA-6FC5-477A-AFA1-94AA55AAC457}</b:Guid>
    <b:Title>Partisipasi masyarakat dalam pembentukan Perundang-undagan untuk mewujudkan indonesia sejahtera dalam pandangan teori negara kesejahteraan</b:Title>
    <b:Year>September 2019</b:Year>
    <b:Author>
      <b:Author>
        <b:NameList>
          <b:Person>
            <b:Last>Roza</b:Last>
            <b:First>Darmani</b:First>
          </b:Person>
        </b:NameList>
      </b:Author>
    </b:Author>
    <b:JournalName>Jurnal Cendekia Hukum</b:JournalName>
    <b:Pages>Vol 5 No 1</b:Pages>
    <b:RefOrder>34</b:RefOrder>
  </b:Source>
  <b:Source>
    <b:Tag>Jok18</b:Tag>
    <b:SourceType>JournalArticle</b:SourceType>
    <b:Guid>{840D301C-5C79-4597-A5F9-3F594848AFE2}</b:Guid>
    <b:Author>
      <b:Author>
        <b:NameList>
          <b:Person>
            <b:Last>Riskiyono</b:Last>
            <b:First>Joko</b:First>
          </b:Person>
        </b:NameList>
      </b:Author>
    </b:Author>
    <b:Title>Partisipasi Masyarakat dalam pembentukan Perundang-Undangan untuk mewujudkan kesejahteraan</b:Title>
    <b:JournalName>Jurnal Aspirasi</b:JournalName>
    <b:Year>Desember 2018</b:Year>
    <b:Pages>Vol 6 No 2</b:Pages>
    <b:RefOrder>35</b:RefOrder>
  </b:Source>
  <b:Source>
    <b:Tag>Sal20</b:Tag>
    <b:SourceType>JournalArticle</b:SourceType>
    <b:Guid>{EC667702-08AB-4C85-B472-573A4D44EF36}</b:Guid>
    <b:Author>
      <b:Author>
        <b:NameList>
          <b:Person>
            <b:Last>Seta</b:Last>
            <b:First>Salahudin</b:First>
            <b:Middle>Tunjung</b:Middle>
          </b:Person>
        </b:NameList>
      </b:Author>
    </b:Author>
    <b:Title>Hak masyarakat dalam pembentukan peraturan perundang-undangan</b:Title>
    <b:JournalName>Jurnal Legislasi indonesia</b:JournalName>
    <b:Year>Juni 2020</b:Year>
    <b:Pages>Vol 17 No 2</b:Pages>
    <b:RefOrder>36</b:RefOrder>
  </b:Source>
  <b:Source>
    <b:Tag>Pem18</b:Tag>
    <b:SourceType>JournalArticle</b:SourceType>
    <b:Guid>{1B21F4A7-C3A6-4CDF-976E-5F2B07ECF736}</b:Guid>
    <b:Author>
      <b:Author>
        <b:NameList>
          <b:Person>
            <b:Last>Perundang-Undangan</b:Last>
            <b:First>Pembentukan</b:First>
            <b:Middle>teori peraturan</b:Middle>
          </b:Person>
        </b:NameList>
      </b:Author>
    </b:Author>
    <b:Title>Michael Frans Berry</b:Title>
    <b:JournalName>Journal homepage</b:JournalName>
    <b:Year>Juli 2018</b:Year>
    <b:Pages>Vol 2 No 2</b:Pages>
    <b:RefOrder>37</b:RefOrder>
  </b:Source>
  <b:Source>
    <b:Tag>Fer18</b:Tag>
    <b:SourceType>JournalArticle</b:SourceType>
    <b:Guid>{427593CF-77C1-4293-8403-62D4814701C1}</b:Guid>
    <b:Author>
      <b:Author>
        <b:NameList>
          <b:Person>
            <b:Last>Febriansyah</b:Last>
            <b:First>Ferry</b:First>
            <b:Middle>Irawan</b:Middle>
          </b:Person>
        </b:NameList>
      </b:Author>
    </b:Author>
    <b:Title>Konsep pembentukan peraturan Perundang-Undangan di Indonesia</b:Title>
    <b:JournalName>Jurnal Perspektif</b:JournalName>
    <b:Year>Sepetmber 2018</b:Year>
    <b:Pages>Volume XXI No 3</b:Pages>
    <b:RefOrder>38</b:RefOrder>
  </b:Source>
  <b:Source>
    <b:Tag>Muh201</b:Tag>
    <b:SourceType>JournalArticle</b:SourceType>
    <b:Guid>{5F853260-AD09-4945-AD3C-784A61A815E4}</b:Guid>
    <b:Author>
      <b:Author>
        <b:NameList>
          <b:Person>
            <b:Last>Hanafi</b:Last>
            <b:First>Muhamad</b:First>
            <b:Middle>Fikri</b:Middle>
          </b:Person>
        </b:NameList>
      </b:Author>
    </b:Author>
    <b:Title>Implementasi teori hans nawiasky dalam peraturan Perundang-Undangan di Indonesia</b:Title>
    <b:JournalName>Jurnal Demokrasi dan Keluatan Nasional</b:JournalName>
    <b:Year>Januari 2020</b:Year>
    <b:Pages>Volume 1 Nomer 1</b:Pages>
    <b:RefOrder>39</b:RefOrder>
  </b:Source>
  <b:Source>
    <b:Tag>Ima18</b:Tag>
    <b:SourceType>JournalArticle</b:SourceType>
    <b:Guid>{6780C018-5A72-44D3-93A9-5B87E1FFF360}</b:Guid>
    <b:Author>
      <b:Author>
        <b:NameList>
          <b:Person>
            <b:Last>ropii</b:Last>
            <b:First>Imam</b:First>
          </b:Person>
        </b:NameList>
      </b:Author>
    </b:Author>
    <b:Title>Pola hubungan pemerintah pusat dan pemerintah daerah dalam otonomi daerah</b:Title>
    <b:JournalName>Maksigama jurnal hukum</b:JournalName>
    <b:Year>November 2018</b:Year>
    <b:Pages>vol 1 No 1</b:Pages>
    <b:RefOrder>40</b:RefOrder>
  </b:Source>
  <b:Source>
    <b:Tag>Day18</b:Tag>
    <b:SourceType>JournalArticle</b:SourceType>
    <b:Guid>{79D6445E-9AE5-4ACB-878D-6045CD4A6485}</b:Guid>
    <b:Author>
      <b:Author>
        <b:NameList>
          <b:Person>
            <b:Last>Dayanto</b:Last>
          </b:Person>
        </b:NameList>
      </b:Author>
    </b:Author>
    <b:Title>Pembentukan peraturan daerah yang baik sebagai sarana mewujudkan tujuan otonomi daerah</b:Title>
    <b:JournalName>Jurnal tahkim</b:JournalName>
    <b:Year>Desember 2018</b:Year>
    <b:Pages>Vol IX No 2</b:Pages>
    <b:RefOrder>41</b:RefOrder>
  </b:Source>
  <b:Source>
    <b:Tag>Sat20</b:Tag>
    <b:SourceType>JournalArticle</b:SourceType>
    <b:Guid>{2BBB175D-1BE4-47EE-A719-DF3D916D5EC6}</b:Guid>
    <b:Author>
      <b:Author>
        <b:NameList>
          <b:Person>
            <b:Last>Nugaraha</b:Last>
            <b:First>Satriya</b:First>
          </b:Person>
        </b:NameList>
      </b:Author>
    </b:Author>
    <b:Title>Partisipasi masyarakat bagi pemerintah daerah dalam sistem demokrasi di indonesia</b:Title>
    <b:JournalName>Jurnal ilmu hukum</b:JournalName>
    <b:Year>Juni 2020</b:Year>
    <b:Pages>Volume 6 Nomor 1</b:Pages>
    <b:RefOrder>42</b:RefOrder>
  </b:Source>
  <b:Source>
    <b:Tag>LaO21</b:Tag>
    <b:SourceType>JournalArticle</b:SourceType>
    <b:Guid>{E3F2EC87-A433-4112-8D73-D3DA33C5F466}</b:Guid>
    <b:Author>
      <b:Author>
        <b:NameList>
          <b:Person>
            <b:Last>Dedihasriadi</b:Last>
            <b:First>La</b:First>
            <b:Middle>Ode</b:Middle>
          </b:Person>
        </b:NameList>
      </b:Author>
    </b:Author>
    <b:Title>Peran peemrintah daerah kabupaten kota dalam pengawasan tenaga kerja asing di indonesia</b:Title>
    <b:JournalName>At-Tanwir Law Riview</b:JournalName>
    <b:Year>Februari 2021</b:Year>
    <b:Pages>halaman 1-21 Vol 1 No 1</b:Pages>
    <b:RefOrder>43</b:RefOrder>
  </b:Source>
  <b:Source>
    <b:Tag>Ari18</b:Tag>
    <b:SourceType>JournalArticle</b:SourceType>
    <b:Guid>{83C17FD4-AB1C-4366-AAB5-C64A11EDA8AB}</b:Guid>
    <b:Author>
      <b:Author>
        <b:NameList>
          <b:Person>
            <b:Last>Evandy</b:Last>
            <b:First>Aristo</b:First>
          </b:Person>
        </b:NameList>
      </b:Author>
    </b:Author>
    <b:Title>Konsistensi pembentukan peraturan daerah berdasarkan hierarki perundang-undangan dalam perspektif politik hukum</b:Title>
    <b:JournalName>Jurnal fiat Justisia</b:JournalName>
    <b:Year>Oktober-Desember 2018</b:Year>
    <b:Pages>Vol 10 No 4</b:Pages>
    <b:RefOrder>44</b:RefOrder>
  </b:Source>
</b:Sources>
</file>

<file path=customXml/itemProps1.xml><?xml version="1.0" encoding="utf-8"?>
<ds:datastoreItem xmlns:ds="http://schemas.openxmlformats.org/officeDocument/2006/customXml" ds:itemID="{9C028527-6F6C-4C0A-80B3-246E739D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30</Pages>
  <Words>8710</Words>
  <Characters>49649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Pahlefi Pahlefi</cp:lastModifiedBy>
  <cp:revision>5</cp:revision>
  <dcterms:created xsi:type="dcterms:W3CDTF">2026-03-05T01:07:00Z</dcterms:created>
  <dcterms:modified xsi:type="dcterms:W3CDTF">2026-03-05T02:17:00Z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e9f4f80af39d42c4cbad26bf903a12237b4d422060689ba8640e1dab67a720ad</vt:lpwstr>
  </property>
  <property fmtid="{D5CDD505-2E9C-101B-9397-08002B2CF9AE}" pid="3" name="Mendeley Document_1">
    <vt:lpwstr>True</vt:lpwstr>
  </property>
  <property fmtid="{D5CDD505-2E9C-101B-9397-08002B2CF9AE}" pid="4" name="Mendeley Unique User Id_1">
    <vt:lpwstr>aee9bbef-b92c-3c7d-9cce-ea0cca90dba7</vt:lpwstr>
  </property>
  <property fmtid="{D5CDD505-2E9C-101B-9397-08002B2CF9AE}" pid="5" name="Mendeley Citation Style_1">
    <vt:lpwstr>http://www.zotero.org/styles/chicago-fullnote-bibliography</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http://www.zotero.org/styles/chicago-fullnote-bibliography</vt:lpwstr>
  </property>
  <property fmtid="{D5CDD505-2E9C-101B-9397-08002B2CF9AE}" pid="17" name="Mendeley Recent Style Name 5_1">
    <vt:lpwstr>Chicago Manual of Style 17th edition (full note)</vt:lpwstr>
  </property>
  <property fmtid="{D5CDD505-2E9C-101B-9397-08002B2CF9AE}" pid="18" name="Mendeley Recent Style Id 6_1">
    <vt:lpwstr>http://www.zotero.org/styles/harvard-cite-them-right</vt:lpwstr>
  </property>
  <property fmtid="{D5CDD505-2E9C-101B-9397-08002B2CF9AE}" pid="19" name="Mendeley Recent Style Name 6_1">
    <vt:lpwstr>Cite Them Right 10th edition - Harvard</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http://www.zotero.org/styles/turabian-notes-bibliography</vt:lpwstr>
  </property>
  <property fmtid="{D5CDD505-2E9C-101B-9397-08002B2CF9AE}" pid="23" name="Mendeley Recent Style Name 8_1">
    <vt:lpwstr>Turabian 9th edition (notes and bibliography)</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