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744" w:rsidRPr="005F1AF4" w:rsidRDefault="009A6744" w:rsidP="009A6744">
      <w:pPr>
        <w:spacing w:before="120" w:after="120" w:line="240" w:lineRule="auto"/>
        <w:jc w:val="center"/>
        <w:rPr>
          <w:rFonts w:ascii="Times New Roman" w:hAnsi="Times New Roman"/>
          <w:b/>
          <w:sz w:val="20"/>
          <w:szCs w:val="20"/>
          <w:lang w:val="id-ID"/>
        </w:rPr>
      </w:pPr>
      <w:r>
        <w:rPr>
          <w:rFonts w:ascii="Arial" w:hAnsi="Arial" w:cs="Arial"/>
          <w:b/>
          <w:sz w:val="24"/>
          <w:szCs w:val="28"/>
        </w:rPr>
        <w:t>PENGARUH MANAJEMEN LABA TERHADAP NILAI PERUSAHAAN</w:t>
      </w:r>
    </w:p>
    <w:p w:rsidR="009A6744" w:rsidRPr="005F1AF4" w:rsidRDefault="009A6744" w:rsidP="009A6744">
      <w:pPr>
        <w:pStyle w:val="SAP-Author"/>
        <w:keepNext/>
        <w:spacing w:before="120" w:after="120"/>
        <w:rPr>
          <w:sz w:val="20"/>
          <w:szCs w:val="20"/>
          <w:lang w:val="id-ID"/>
        </w:rPr>
      </w:pPr>
    </w:p>
    <w:p w:rsidR="009A6744" w:rsidRPr="009A6744" w:rsidRDefault="009A6744" w:rsidP="009A6744">
      <w:pPr>
        <w:pStyle w:val="SAP-Affiliation"/>
        <w:spacing w:before="120" w:after="120" w:line="240" w:lineRule="auto"/>
        <w:contextualSpacing/>
        <w:rPr>
          <w:rFonts w:ascii="Arial" w:eastAsia="Times New Roman" w:hAnsi="Arial" w:cs="Arial"/>
          <w:noProof/>
          <w:kern w:val="0"/>
          <w:sz w:val="22"/>
          <w:szCs w:val="22"/>
          <w:vertAlign w:val="superscript"/>
          <w:lang w:eastAsia="en-US"/>
        </w:rPr>
      </w:pPr>
      <w:r>
        <w:rPr>
          <w:rFonts w:ascii="Arial" w:eastAsia="Times New Roman" w:hAnsi="Arial" w:cs="Arial"/>
          <w:noProof/>
          <w:kern w:val="0"/>
          <w:sz w:val="22"/>
          <w:szCs w:val="22"/>
          <w:lang w:eastAsia="en-US"/>
        </w:rPr>
        <w:t>Pedi Riswandi</w:t>
      </w:r>
      <w:r>
        <w:rPr>
          <w:rFonts w:ascii="Arial" w:eastAsia="Times New Roman" w:hAnsi="Arial" w:cs="Arial"/>
          <w:noProof/>
          <w:kern w:val="0"/>
          <w:sz w:val="22"/>
          <w:szCs w:val="22"/>
          <w:vertAlign w:val="superscript"/>
          <w:lang w:eastAsia="en-US"/>
        </w:rPr>
        <w:t>1</w:t>
      </w:r>
      <w:r w:rsidRPr="005F1AF4">
        <w:rPr>
          <w:rFonts w:ascii="Arial" w:eastAsia="Times New Roman" w:hAnsi="Arial" w:cs="Arial"/>
          <w:noProof/>
          <w:kern w:val="0"/>
          <w:sz w:val="22"/>
          <w:szCs w:val="22"/>
          <w:lang w:val="id-ID" w:eastAsia="en-US"/>
        </w:rPr>
        <w:t xml:space="preserve">, </w:t>
      </w:r>
      <w:r>
        <w:rPr>
          <w:rFonts w:ascii="Arial" w:eastAsia="Times New Roman" w:hAnsi="Arial" w:cs="Arial"/>
          <w:noProof/>
          <w:kern w:val="0"/>
          <w:sz w:val="22"/>
          <w:szCs w:val="22"/>
          <w:lang w:eastAsia="en-US"/>
        </w:rPr>
        <w:t>Rina Yuniarti</w:t>
      </w:r>
      <w:r>
        <w:rPr>
          <w:rFonts w:ascii="Arial" w:eastAsia="Times New Roman" w:hAnsi="Arial" w:cs="Arial"/>
          <w:noProof/>
          <w:kern w:val="0"/>
          <w:sz w:val="22"/>
          <w:szCs w:val="22"/>
          <w:vertAlign w:val="superscript"/>
          <w:lang w:eastAsia="en-US"/>
        </w:rPr>
        <w:t>2*</w:t>
      </w:r>
    </w:p>
    <w:p w:rsidR="009A6744" w:rsidRDefault="009A6744" w:rsidP="009A6744">
      <w:pPr>
        <w:pStyle w:val="SAP-Affiliation"/>
        <w:spacing w:before="120" w:after="120" w:line="240" w:lineRule="auto"/>
        <w:contextualSpacing/>
        <w:rPr>
          <w:rFonts w:ascii="Arial" w:eastAsia="Times New Roman" w:hAnsi="Arial" w:cs="Arial"/>
          <w:noProof/>
          <w:kern w:val="0"/>
          <w:sz w:val="22"/>
          <w:szCs w:val="22"/>
          <w:lang w:eastAsia="en-US"/>
        </w:rPr>
      </w:pPr>
      <w:r>
        <w:rPr>
          <w:rFonts w:ascii="Arial" w:eastAsia="Times New Roman" w:hAnsi="Arial" w:cs="Arial"/>
          <w:noProof/>
          <w:kern w:val="0"/>
          <w:sz w:val="22"/>
          <w:szCs w:val="22"/>
          <w:vertAlign w:val="superscript"/>
          <w:lang w:eastAsia="en-US"/>
        </w:rPr>
        <w:t xml:space="preserve">1 </w:t>
      </w:r>
      <w:r>
        <w:rPr>
          <w:rFonts w:ascii="Arial" w:eastAsia="Times New Roman" w:hAnsi="Arial" w:cs="Arial"/>
          <w:noProof/>
          <w:kern w:val="0"/>
          <w:sz w:val="22"/>
          <w:szCs w:val="22"/>
          <w:lang w:eastAsia="en-US"/>
        </w:rPr>
        <w:t>Fakultas Ekonomi, Universitas Prof. Dr. Hazairin, SH.,MH Bengkulu</w:t>
      </w:r>
    </w:p>
    <w:p w:rsidR="009A6744" w:rsidRPr="005F1AF4" w:rsidRDefault="009A6744" w:rsidP="009A6744">
      <w:pPr>
        <w:pStyle w:val="SAP-Affiliation"/>
        <w:spacing w:before="120" w:after="120" w:line="240" w:lineRule="auto"/>
        <w:contextualSpacing/>
        <w:rPr>
          <w:rFonts w:ascii="Arial" w:eastAsia="Times New Roman" w:hAnsi="Arial" w:cs="Arial"/>
          <w:noProof/>
          <w:kern w:val="0"/>
          <w:sz w:val="22"/>
          <w:szCs w:val="22"/>
          <w:lang w:val="id-ID" w:eastAsia="en-US"/>
        </w:rPr>
      </w:pPr>
      <w:r>
        <w:rPr>
          <w:rFonts w:ascii="Arial" w:eastAsia="Times New Roman" w:hAnsi="Arial" w:cs="Arial"/>
          <w:noProof/>
          <w:kern w:val="0"/>
          <w:sz w:val="22"/>
          <w:szCs w:val="22"/>
          <w:vertAlign w:val="superscript"/>
          <w:lang w:eastAsia="en-US"/>
        </w:rPr>
        <w:t xml:space="preserve">2 </w:t>
      </w:r>
      <w:r>
        <w:rPr>
          <w:rFonts w:ascii="Arial" w:eastAsia="Times New Roman" w:hAnsi="Arial" w:cs="Arial"/>
          <w:noProof/>
          <w:kern w:val="0"/>
          <w:sz w:val="22"/>
          <w:szCs w:val="22"/>
          <w:lang w:eastAsia="en-US"/>
        </w:rPr>
        <w:t>Fakultas Ekonomi, Universitas Muhammadiyah Bengkulu</w:t>
      </w:r>
    </w:p>
    <w:p w:rsidR="009A6744" w:rsidRDefault="009A6744" w:rsidP="009A6744">
      <w:pPr>
        <w:pStyle w:val="SAP-Affiliation"/>
        <w:spacing w:before="120" w:after="120" w:line="240" w:lineRule="auto"/>
        <w:contextualSpacing/>
        <w:rPr>
          <w:rFonts w:ascii="Arial" w:eastAsia="Times New Roman" w:hAnsi="Arial" w:cs="Arial"/>
          <w:noProof/>
          <w:kern w:val="0"/>
          <w:sz w:val="22"/>
          <w:szCs w:val="22"/>
          <w:lang w:eastAsia="en-US"/>
        </w:rPr>
      </w:pPr>
      <w:r>
        <w:rPr>
          <w:rFonts w:ascii="Arial" w:eastAsia="Times New Roman" w:hAnsi="Arial" w:cs="Arial"/>
          <w:noProof/>
          <w:kern w:val="0"/>
          <w:sz w:val="22"/>
          <w:szCs w:val="22"/>
          <w:lang w:eastAsia="en-US"/>
        </w:rPr>
        <w:t>Coresponding author : Rina Yuniarti</w:t>
      </w:r>
    </w:p>
    <w:p w:rsidR="009A6744" w:rsidRPr="005F1AF4" w:rsidRDefault="009A6744" w:rsidP="009A6744">
      <w:pPr>
        <w:pStyle w:val="SAP-Affiliation"/>
        <w:spacing w:before="120" w:after="120" w:line="240" w:lineRule="auto"/>
        <w:contextualSpacing/>
        <w:rPr>
          <w:rFonts w:ascii="Arial" w:hAnsi="Arial" w:cs="Arial"/>
          <w:sz w:val="22"/>
          <w:szCs w:val="22"/>
        </w:rPr>
      </w:pPr>
      <w:r>
        <w:rPr>
          <w:rFonts w:ascii="Arial" w:eastAsia="Times New Roman" w:hAnsi="Arial" w:cs="Arial"/>
          <w:noProof/>
          <w:kern w:val="0"/>
          <w:sz w:val="22"/>
          <w:szCs w:val="22"/>
          <w:lang w:eastAsia="en-US"/>
        </w:rPr>
        <w:t>Email: rinayuniarti2013@gmail.com</w:t>
      </w:r>
    </w:p>
    <w:p w:rsidR="009A6744" w:rsidRPr="005F1AF4" w:rsidRDefault="009A6744" w:rsidP="009A6744">
      <w:pPr>
        <w:pStyle w:val="SAP-Affiliation"/>
        <w:spacing w:before="120" w:after="120" w:line="240" w:lineRule="auto"/>
        <w:contextualSpacing/>
        <w:rPr>
          <w:sz w:val="20"/>
          <w:szCs w:val="20"/>
          <w:lang w:val="en-GB"/>
        </w:rPr>
      </w:pPr>
      <w:r w:rsidRPr="005F1AF4">
        <w:rPr>
          <w:sz w:val="20"/>
          <w:szCs w:val="20"/>
          <w:lang w:val="id-ID"/>
        </w:rPr>
        <w:t xml:space="preserve"> </w:t>
      </w:r>
    </w:p>
    <w:p w:rsidR="009A6744" w:rsidRPr="005F1AF4" w:rsidRDefault="009A6744" w:rsidP="009A6744">
      <w:pPr>
        <w:spacing w:after="0" w:line="240" w:lineRule="auto"/>
        <w:jc w:val="center"/>
        <w:rPr>
          <w:rFonts w:ascii="Arial" w:hAnsi="Arial" w:cs="Arial"/>
          <w:szCs w:val="20"/>
          <w:lang w:val="id-ID"/>
        </w:rPr>
      </w:pPr>
      <w:r w:rsidRPr="005F1AF4">
        <w:rPr>
          <w:rFonts w:ascii="Arial" w:hAnsi="Arial" w:cs="Arial"/>
          <w:szCs w:val="20"/>
          <w:lang w:val="id-ID"/>
        </w:rPr>
        <w:t>Received xx-Januari-xxxx, Acceptance xx-Januari-xxxx</w:t>
      </w:r>
    </w:p>
    <w:p w:rsidR="009A6744" w:rsidRPr="005F1AF4" w:rsidRDefault="009A6744" w:rsidP="009A6744">
      <w:pPr>
        <w:spacing w:line="240" w:lineRule="auto"/>
        <w:jc w:val="center"/>
        <w:rPr>
          <w:rFonts w:ascii="Arial" w:hAnsi="Arial" w:cs="Arial"/>
          <w:szCs w:val="20"/>
        </w:rPr>
      </w:pPr>
      <w:r w:rsidRPr="005F1AF4">
        <w:rPr>
          <w:rFonts w:ascii="Arial" w:hAnsi="Arial" w:cs="Arial"/>
          <w:szCs w:val="20"/>
          <w:lang w:val="id-ID"/>
        </w:rPr>
        <w:t>DOI: http://dx.doi.org/10.21107/</w:t>
      </w:r>
      <w:r w:rsidRPr="005F1AF4">
        <w:rPr>
          <w:rFonts w:ascii="Arial" w:hAnsi="Arial" w:cs="Arial"/>
          <w:szCs w:val="20"/>
        </w:rPr>
        <w:t>pamator</w:t>
      </w:r>
    </w:p>
    <w:p w:rsidR="009A6744" w:rsidRDefault="009A6744" w:rsidP="009A6744">
      <w:pPr>
        <w:spacing w:after="0" w:line="240" w:lineRule="auto"/>
        <w:ind w:right="-45"/>
        <w:rPr>
          <w:rFonts w:ascii="Arial" w:hAnsi="Arial" w:cs="Arial"/>
          <w:b/>
          <w:szCs w:val="20"/>
          <w:lang w:val="id-ID"/>
        </w:rPr>
      </w:pPr>
      <w:r w:rsidRPr="005F1AF4">
        <w:rPr>
          <w:rFonts w:ascii="Arial" w:hAnsi="Arial" w:cs="Arial"/>
          <w:b/>
          <w:szCs w:val="20"/>
          <w:lang w:val="id-ID"/>
        </w:rPr>
        <w:t>ABSTRAK</w:t>
      </w:r>
    </w:p>
    <w:p w:rsidR="006F1755" w:rsidRPr="005F1AF4" w:rsidRDefault="006F1755" w:rsidP="009A6744">
      <w:pPr>
        <w:spacing w:after="0" w:line="240" w:lineRule="auto"/>
        <w:ind w:right="-45"/>
        <w:rPr>
          <w:rFonts w:ascii="Arial" w:hAnsi="Arial" w:cs="Arial"/>
          <w:spacing w:val="10"/>
          <w:szCs w:val="20"/>
        </w:rPr>
      </w:pPr>
    </w:p>
    <w:p w:rsidR="009A6744" w:rsidRPr="005F1AF4" w:rsidRDefault="009A6744" w:rsidP="009A6744">
      <w:pPr>
        <w:spacing w:after="120" w:line="240" w:lineRule="auto"/>
        <w:ind w:right="-45"/>
        <w:jc w:val="both"/>
        <w:rPr>
          <w:rFonts w:ascii="Arial" w:hAnsi="Arial" w:cs="Arial"/>
          <w:i/>
          <w:szCs w:val="20"/>
        </w:rPr>
      </w:pPr>
      <w:r>
        <w:rPr>
          <w:rFonts w:ascii="Arial" w:hAnsi="Arial" w:cs="Arial"/>
          <w:i/>
        </w:rPr>
        <w:t>Tujuan berdirinya suatu perusahaan untuk meningkatkan nilai perusahaan, sehingga dapat memberikan kemakmuran bagi pemegang saham. Salah satu faktor yang dapat memengaruhi nilai perusahaan adalah manajemen laba. Penelitian ini bertujuan untuk menguji secara empiris</w:t>
      </w:r>
      <w:r w:rsidR="00355078">
        <w:rPr>
          <w:rFonts w:ascii="Arial" w:hAnsi="Arial" w:cs="Arial"/>
          <w:i/>
        </w:rPr>
        <w:t xml:space="preserve"> pengaruh manajemen laba terhadap nilai perusahaan. Sampel penelitian ini perusahaan pertambangan sebanyak 154 terdaftar di Bursa Efek Indonesia tahun 2012-2017. Data yang digunakan adalah data sekunder yang diperoleh dari laporan keuangan dan laporan tahunan perusahaan. Hasil penelitian menunjukkan bahwa manajemen laba berpengaruh positif signifikan terhadap nilai perusahaan.</w:t>
      </w:r>
    </w:p>
    <w:p w:rsidR="009A6744" w:rsidRPr="005F1AF4" w:rsidRDefault="009A6744" w:rsidP="009A6744">
      <w:pPr>
        <w:spacing w:before="120" w:line="240" w:lineRule="auto"/>
        <w:ind w:right="-46"/>
        <w:jc w:val="both"/>
        <w:rPr>
          <w:rFonts w:ascii="Arial" w:hAnsi="Arial" w:cs="Arial"/>
          <w:i/>
          <w:szCs w:val="20"/>
          <w:lang w:val="id-ID"/>
        </w:rPr>
      </w:pPr>
      <w:r w:rsidRPr="005F1AF4">
        <w:rPr>
          <w:rFonts w:ascii="Arial" w:hAnsi="Arial" w:cs="Arial"/>
          <w:i/>
          <w:szCs w:val="20"/>
        </w:rPr>
        <w:t>K</w:t>
      </w:r>
      <w:r w:rsidRPr="005F1AF4">
        <w:rPr>
          <w:rFonts w:ascii="Arial" w:hAnsi="Arial" w:cs="Arial"/>
          <w:i/>
          <w:szCs w:val="20"/>
          <w:lang w:val="id-ID"/>
        </w:rPr>
        <w:t>ata Kunci</w:t>
      </w:r>
      <w:r w:rsidR="00355078">
        <w:rPr>
          <w:rFonts w:ascii="Arial" w:hAnsi="Arial" w:cs="Arial"/>
          <w:i/>
          <w:szCs w:val="20"/>
        </w:rPr>
        <w:t>: manajemen laba, nilai perusahaan</w:t>
      </w:r>
      <w:r w:rsidRPr="005F1AF4">
        <w:rPr>
          <w:rFonts w:ascii="Arial" w:hAnsi="Arial" w:cs="Arial"/>
          <w:i/>
          <w:szCs w:val="20"/>
        </w:rPr>
        <w:t>.</w:t>
      </w:r>
    </w:p>
    <w:p w:rsidR="009A6744" w:rsidRPr="005F1AF4" w:rsidRDefault="009A6744" w:rsidP="009A6744">
      <w:pPr>
        <w:spacing w:after="0" w:line="240" w:lineRule="auto"/>
        <w:ind w:right="-45"/>
        <w:rPr>
          <w:rFonts w:ascii="Arial" w:hAnsi="Arial" w:cs="Arial"/>
          <w:spacing w:val="10"/>
          <w:szCs w:val="20"/>
        </w:rPr>
      </w:pPr>
      <w:r w:rsidRPr="005F1AF4">
        <w:rPr>
          <w:rFonts w:ascii="Arial" w:hAnsi="Arial" w:cs="Arial"/>
          <w:b/>
          <w:szCs w:val="20"/>
          <w:lang w:val="id-ID"/>
        </w:rPr>
        <w:t>ABSTRACT</w:t>
      </w:r>
    </w:p>
    <w:p w:rsidR="009A6744" w:rsidRPr="005F1AF4" w:rsidRDefault="00824804" w:rsidP="009A6744">
      <w:pPr>
        <w:spacing w:after="120" w:line="240" w:lineRule="auto"/>
        <w:ind w:right="-45"/>
        <w:jc w:val="both"/>
        <w:rPr>
          <w:rFonts w:ascii="Arial" w:hAnsi="Arial" w:cs="Arial"/>
          <w:i/>
          <w:szCs w:val="20"/>
          <w:lang w:val="id-ID"/>
        </w:rPr>
      </w:pPr>
      <w:bookmarkStart w:id="0" w:name="_GoBack"/>
      <w:r w:rsidRPr="00824804">
        <w:rPr>
          <w:rStyle w:val="Emphasis"/>
          <w:rFonts w:ascii="Arial" w:hAnsi="Arial" w:cs="Arial"/>
          <w:color w:val="000000"/>
          <w:shd w:val="clear" w:color="auto" w:fill="FFFFFF"/>
        </w:rPr>
        <w:t>The purpose of the establishment of a company is to increase the firm value can give prosperity for shareholders. A factor can affect firm values is earning management. This research aims to empirically examine the effects of earnings management on firm value. The sample is 154 mining companies listed on the Indonesian Stock Exchange in 2012-2017. The type of data used is secondary data obtained from the company’s financial statement and annual reports. The result showed that earnings management has a positive effect on firm value</w:t>
      </w:r>
      <w:bookmarkEnd w:id="0"/>
      <w:r>
        <w:rPr>
          <w:rStyle w:val="Emphasis"/>
          <w:rFonts w:ascii="Verdana" w:hAnsi="Verdana"/>
          <w:color w:val="000000"/>
          <w:sz w:val="15"/>
          <w:szCs w:val="15"/>
          <w:shd w:val="clear" w:color="auto" w:fill="FFFFFF"/>
        </w:rPr>
        <w:t>.</w:t>
      </w:r>
      <w:r w:rsidR="00355078">
        <w:rPr>
          <w:rFonts w:ascii="Arial" w:hAnsi="Arial" w:cs="Arial"/>
          <w:i/>
          <w:szCs w:val="20"/>
        </w:rPr>
        <w:t>.</w:t>
      </w:r>
    </w:p>
    <w:p w:rsidR="009A6744" w:rsidRPr="005F1AF4" w:rsidRDefault="009A6744" w:rsidP="009A6744">
      <w:pPr>
        <w:rPr>
          <w:rFonts w:ascii="Arial" w:hAnsi="Arial" w:cs="Arial"/>
          <w:i/>
          <w:szCs w:val="20"/>
        </w:rPr>
        <w:sectPr w:rsidR="009A6744" w:rsidRPr="005F1AF4" w:rsidSect="003C3508">
          <w:headerReference w:type="even" r:id="rId8"/>
          <w:headerReference w:type="default" r:id="rId9"/>
          <w:headerReference w:type="first" r:id="rId10"/>
          <w:pgSz w:w="11906" w:h="16838"/>
          <w:pgMar w:top="2268" w:right="1701" w:bottom="1701" w:left="2268" w:header="709" w:footer="709" w:gutter="0"/>
          <w:cols w:space="708"/>
          <w:titlePg/>
          <w:docGrid w:linePitch="360"/>
        </w:sectPr>
      </w:pPr>
      <w:r w:rsidRPr="005F1AF4">
        <w:rPr>
          <w:rFonts w:ascii="Arial" w:hAnsi="Arial" w:cs="Arial"/>
          <w:i/>
          <w:szCs w:val="20"/>
        </w:rPr>
        <w:t xml:space="preserve">Keywords: </w:t>
      </w:r>
      <w:r w:rsidR="00355078">
        <w:rPr>
          <w:rFonts w:ascii="Arial" w:hAnsi="Arial" w:cs="Arial"/>
          <w:i/>
          <w:szCs w:val="20"/>
        </w:rPr>
        <w:t>earnings management, firm value</w:t>
      </w:r>
      <w:r w:rsidR="003C3508">
        <w:rPr>
          <w:rFonts w:ascii="Arial" w:hAnsi="Arial" w:cs="Arial"/>
          <w:i/>
          <w:szCs w:val="20"/>
        </w:rPr>
        <w:t>.</w:t>
      </w:r>
    </w:p>
    <w:p w:rsidR="009A6744" w:rsidRPr="005F1AF4" w:rsidRDefault="009A6744" w:rsidP="009A6744">
      <w:pPr>
        <w:rPr>
          <w:rFonts w:ascii="Arial" w:hAnsi="Arial" w:cs="Arial"/>
          <w:i/>
          <w:szCs w:val="20"/>
        </w:rPr>
        <w:sectPr w:rsidR="009A6744" w:rsidRPr="005F1AF4" w:rsidSect="003C3508">
          <w:type w:val="continuous"/>
          <w:pgSz w:w="11906" w:h="16838"/>
          <w:pgMar w:top="2268" w:right="1701" w:bottom="1701" w:left="2268" w:header="709" w:footer="709" w:gutter="0"/>
          <w:cols w:space="708"/>
          <w:titlePg/>
          <w:docGrid w:linePitch="360"/>
        </w:sectPr>
      </w:pPr>
    </w:p>
    <w:p w:rsidR="009A6744" w:rsidRPr="005F1AF4" w:rsidRDefault="009A6744" w:rsidP="009A6744">
      <w:pPr>
        <w:spacing w:before="120" w:after="0" w:line="240" w:lineRule="auto"/>
        <w:jc w:val="both"/>
        <w:rPr>
          <w:rFonts w:ascii="Arial" w:hAnsi="Arial" w:cs="Arial"/>
          <w:b/>
        </w:rPr>
      </w:pPr>
      <w:r w:rsidRPr="005F1AF4">
        <w:rPr>
          <w:rFonts w:ascii="Arial" w:hAnsi="Arial" w:cs="Arial"/>
          <w:b/>
        </w:rPr>
        <w:t>PENDAHULUAN</w:t>
      </w:r>
    </w:p>
    <w:p w:rsidR="00656FC3" w:rsidRDefault="00656FC3" w:rsidP="009A6744">
      <w:pPr>
        <w:spacing w:after="0" w:line="240" w:lineRule="auto"/>
        <w:ind w:firstLine="720"/>
        <w:jc w:val="both"/>
        <w:rPr>
          <w:rFonts w:ascii="Arial" w:hAnsi="Arial" w:cs="Arial"/>
          <w:spacing w:val="2"/>
        </w:rPr>
      </w:pPr>
      <w:r>
        <w:rPr>
          <w:rFonts w:ascii="Arial" w:hAnsi="Arial" w:cs="Arial"/>
          <w:spacing w:val="2"/>
        </w:rPr>
        <w:t xml:space="preserve">Perusahaan-perusahaan saat ini saling bersaing agar menjadi perusahaan yang berkompeten diantara perusahaan lain. </w:t>
      </w:r>
      <w:r w:rsidR="00020F1E">
        <w:rPr>
          <w:rFonts w:ascii="Arial" w:hAnsi="Arial" w:cs="Arial"/>
          <w:spacing w:val="2"/>
        </w:rPr>
        <w:fldChar w:fldCharType="begin" w:fldLock="1"/>
      </w:r>
      <w:r w:rsidR="00020F1E">
        <w:rPr>
          <w:rFonts w:ascii="Arial" w:hAnsi="Arial" w:cs="Arial"/>
          <w:spacing w:val="2"/>
        </w:rPr>
        <w:instrText>ADDIN CSL_CITATION {"citationItems":[{"id":"ITEM-1","itemData":{"author":[{"dropping-particle":"","family":"Sari","given":"Roosiana Ayu Indah","non-dropping-particle":"","parse-names":false,"suffix":""},{"dropping-particle":"","family":"Priyadi","given":"Maswar Patuh","non-dropping-particle":"","parse-names":false,"suffix":""}],"container-title":"Journal Ilmu dan Riset Manajemen","id":"ITEM-1","issued":{"date-parts":[["2016"]]},"title":"Pengaruh Leverage, Profitabilitas, Size dan Growth Opportunity terhadap Nilai Perusahaan","type":"article-journal","volume":"5"},"uris":["http://www.mendeley.com/documents/?uuid=95322f25-f312-4f4f-8865-a6923df195c6"]}],"mendeley":{"formattedCitation":"(Sari &amp; Priyadi, 2016)","manualFormatting":"Sari &amp; Priyadi (2016)","plainTextFormattedCitation":"(Sari &amp; Priyadi, 2016)","previouslyFormattedCitation":"(Sari &amp; Priyadi, 2016)"},"properties":{"noteIndex":0},"schema":"https://github.com/citation-style-language/schema/raw/master/csl-citation.json"}</w:instrText>
      </w:r>
      <w:r w:rsidR="00020F1E">
        <w:rPr>
          <w:rFonts w:ascii="Arial" w:hAnsi="Arial" w:cs="Arial"/>
          <w:spacing w:val="2"/>
        </w:rPr>
        <w:fldChar w:fldCharType="separate"/>
      </w:r>
      <w:r w:rsidR="00020F1E">
        <w:rPr>
          <w:rFonts w:ascii="Arial" w:hAnsi="Arial" w:cs="Arial"/>
          <w:noProof/>
          <w:spacing w:val="2"/>
        </w:rPr>
        <w:t>Sari &amp; Priyadi (</w:t>
      </w:r>
      <w:r w:rsidR="00020F1E" w:rsidRPr="00020F1E">
        <w:rPr>
          <w:rFonts w:ascii="Arial" w:hAnsi="Arial" w:cs="Arial"/>
          <w:noProof/>
          <w:spacing w:val="2"/>
        </w:rPr>
        <w:t>2016)</w:t>
      </w:r>
      <w:r w:rsidR="00020F1E">
        <w:rPr>
          <w:rFonts w:ascii="Arial" w:hAnsi="Arial" w:cs="Arial"/>
          <w:spacing w:val="2"/>
        </w:rPr>
        <w:fldChar w:fldCharType="end"/>
      </w:r>
      <w:r>
        <w:rPr>
          <w:rFonts w:ascii="Arial" w:hAnsi="Arial" w:cs="Arial"/>
          <w:spacing w:val="2"/>
        </w:rPr>
        <w:t xml:space="preserve">, mengungkapkan nilai perusahaan bagian dari persepsi investor terhadap perusahaan terkait harga saham, semakin tinggi nilai perusahaan dapat memberikan kemakmuran bagi pemegang saham </w:t>
      </w:r>
      <w:r w:rsidR="00342E03">
        <w:rPr>
          <w:rFonts w:ascii="Arial" w:hAnsi="Arial" w:cs="Arial"/>
          <w:spacing w:val="2"/>
        </w:rPr>
        <w:fldChar w:fldCharType="begin" w:fldLock="1"/>
      </w:r>
      <w:r w:rsidR="00235DC6">
        <w:rPr>
          <w:rFonts w:ascii="Arial" w:hAnsi="Arial" w:cs="Arial"/>
          <w:spacing w:val="2"/>
        </w:rPr>
        <w:instrText>ADDIN CSL_CITATION {"citationItems":[{"id":"ITEM-1","itemData":{"author":[{"dropping-particle":"","family":"Nurhayati","given":"Mafizatun","non-dropping-particle":"","parse-names":false,"suffix":""}],"container-title":"Jurnal Keuangan &amp; Bisnis Program Studi Magister Manajemen Sekolah Tinggi Ilmu Ekonomi Harapan","id":"ITEM-1","issue":"2","issued":{"date-parts":[["2013"]]},"page":"144-153","title":"Profitabiltas, Likuiditas dan Ukuran Perusahaan Pengaruhnya Terhadap Kebijakan Deviden dan Nilai Perusahaan Sektor Non Jasa","type":"article-journal","volume":"5"},"uris":["http://www.mendeley.com/documents/?uuid=8ce9f1a5-db20-48e4-91d8-02e96fadcf21"]}],"mendeley":{"formattedCitation":"(Nurhayati, 2013)","plainTextFormattedCitation":"(Nurhayati, 2013)","previouslyFormattedCitation":"(Nurhayati, 2013)"},"properties":{"noteIndex":0},"schema":"https://github.com/citation-style-language/schema/raw/master/csl-citation.json"}</w:instrText>
      </w:r>
      <w:r w:rsidR="00342E03">
        <w:rPr>
          <w:rFonts w:ascii="Arial" w:hAnsi="Arial" w:cs="Arial"/>
          <w:spacing w:val="2"/>
        </w:rPr>
        <w:fldChar w:fldCharType="separate"/>
      </w:r>
      <w:r w:rsidR="00342E03" w:rsidRPr="00342E03">
        <w:rPr>
          <w:rFonts w:ascii="Arial" w:hAnsi="Arial" w:cs="Arial"/>
          <w:noProof/>
          <w:spacing w:val="2"/>
        </w:rPr>
        <w:t>(Nurhayati, 2013)</w:t>
      </w:r>
      <w:r w:rsidR="00342E03">
        <w:rPr>
          <w:rFonts w:ascii="Arial" w:hAnsi="Arial" w:cs="Arial"/>
          <w:spacing w:val="2"/>
        </w:rPr>
        <w:fldChar w:fldCharType="end"/>
      </w:r>
      <w:r w:rsidR="00342E03">
        <w:rPr>
          <w:rFonts w:ascii="Arial" w:hAnsi="Arial" w:cs="Arial"/>
          <w:spacing w:val="2"/>
        </w:rPr>
        <w:t>.</w:t>
      </w:r>
      <w:r>
        <w:rPr>
          <w:rFonts w:ascii="Arial" w:hAnsi="Arial" w:cs="Arial"/>
          <w:spacing w:val="2"/>
        </w:rPr>
        <w:t xml:space="preserve"> Merosotnya harga saham PT Bumi Resources Tbk (BUMI) terjadi awal September 2017 berada di level terendah 212 dan tertinggi 258 per saham, sehingga masuk jajaran daftar </w:t>
      </w:r>
      <w:r>
        <w:rPr>
          <w:rFonts w:ascii="Arial" w:hAnsi="Arial" w:cs="Arial"/>
          <w:i/>
          <w:spacing w:val="2"/>
        </w:rPr>
        <w:t xml:space="preserve">top losers </w:t>
      </w:r>
      <w:r>
        <w:rPr>
          <w:rFonts w:ascii="Arial" w:hAnsi="Arial" w:cs="Arial"/>
          <w:spacing w:val="2"/>
        </w:rPr>
        <w:t xml:space="preserve"> atau saham turun paling dalam. </w:t>
      </w:r>
    </w:p>
    <w:p w:rsidR="00B75917" w:rsidRDefault="00020F1E" w:rsidP="009A6744">
      <w:pPr>
        <w:spacing w:after="0" w:line="240" w:lineRule="auto"/>
        <w:ind w:firstLine="720"/>
        <w:jc w:val="both"/>
        <w:rPr>
          <w:rFonts w:ascii="Arial" w:hAnsi="Arial" w:cs="Arial"/>
          <w:spacing w:val="2"/>
        </w:rPr>
      </w:pPr>
      <w:r>
        <w:rPr>
          <w:rFonts w:ascii="Arial" w:hAnsi="Arial" w:cs="Arial"/>
          <w:spacing w:val="2"/>
        </w:rPr>
        <w:fldChar w:fldCharType="begin" w:fldLock="1"/>
      </w:r>
      <w:r w:rsidR="00EF1723">
        <w:rPr>
          <w:rFonts w:ascii="Arial" w:hAnsi="Arial" w:cs="Arial"/>
          <w:spacing w:val="2"/>
        </w:rPr>
        <w:instrText>ADDIN CSL_CITATION {"citationItems":[{"id":"ITEM-1","itemData":{"author":[{"dropping-particle":"","family":"Subanidja","given":"S","non-dropping-particle":"","parse-names":false,"suffix":""},{"dropping-particle":"","family":"Rahman","given":"Abdul","non-dropping-particle":"","parse-names":false,"suffix":""},{"dropping-particle":"","family":"Astuti","given":"Apri Dwi","non-dropping-particle":"","parse-names":false,"suffix":""}],"container-title":"Jurnal Dinamika Akuntansi","id":"ITEM-1","issue":"2","issued":{"date-parts":[["2016"]]},"title":"Pengaruh Kepemilikkan Keluarga terhadap Kinerja Perusahaan dengan Agency Cost sebagai variabel Moderating","type":"article-journal","volume":"7"},"uris":["http://www.mendeley.com/documents/?uuid=440af44f-fbeb-4310-b11f-ae9d66e8f6a1"]}],"mendeley":{"formattedCitation":"(Subanidja et al., 2016)","manualFormatting":"Subanidja et al. (2016)","plainTextFormattedCitation":"(Subanidja et al., 2016)","previouslyFormattedCitation":"(Subanidja et al., 2016)"},"properties":{"noteIndex":0},"schema":"https://github.com/citation-style-language/schema/raw/master/csl-citation.json"}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Subanidja et al. (</w:t>
      </w:r>
      <w:r w:rsidRPr="00020F1E">
        <w:rPr>
          <w:rFonts w:ascii="Arial" w:hAnsi="Arial" w:cs="Arial"/>
          <w:noProof/>
          <w:spacing w:val="2"/>
        </w:rPr>
        <w:t>2016)</w:t>
      </w:r>
      <w:r>
        <w:rPr>
          <w:rFonts w:ascii="Arial" w:hAnsi="Arial" w:cs="Arial"/>
          <w:spacing w:val="2"/>
        </w:rPr>
        <w:fldChar w:fldCharType="end"/>
      </w:r>
      <w:r w:rsidR="00656FC3">
        <w:rPr>
          <w:rFonts w:ascii="Arial" w:hAnsi="Arial" w:cs="Arial"/>
          <w:spacing w:val="2"/>
        </w:rPr>
        <w:t xml:space="preserve">, mengungkapkan manajemen laba  adalah upaya manajemen yang disengaja untuk memanipulasi laporan keuangan dalam batas yang diizinkan oleh prinsip akuntansi. </w:t>
      </w:r>
      <w:r w:rsidR="00B75917">
        <w:rPr>
          <w:rFonts w:ascii="Arial" w:hAnsi="Arial" w:cs="Arial"/>
          <w:spacing w:val="2"/>
        </w:rPr>
        <w:t xml:space="preserve">Praktik manajemen laba dapat </w:t>
      </w:r>
      <w:r w:rsidR="00B75917">
        <w:rPr>
          <w:rFonts w:ascii="Arial" w:hAnsi="Arial" w:cs="Arial"/>
          <w:spacing w:val="2"/>
        </w:rPr>
        <w:lastRenderedPageBreak/>
        <w:t>menyebabkan pengungkapan informasi dalam laporan keuanga  tidak</w:t>
      </w:r>
      <w:r w:rsidR="00EF1723">
        <w:rPr>
          <w:rFonts w:ascii="Arial" w:hAnsi="Arial" w:cs="Arial"/>
          <w:spacing w:val="2"/>
        </w:rPr>
        <w:t xml:space="preserve"> mencerminkan kondisi sebenarnya </w:t>
      </w:r>
      <w:r w:rsidR="00EF1723">
        <w:rPr>
          <w:rFonts w:ascii="Arial" w:hAnsi="Arial" w:cs="Arial"/>
          <w:spacing w:val="2"/>
        </w:rPr>
        <w:fldChar w:fldCharType="begin" w:fldLock="1"/>
      </w:r>
      <w:r w:rsidR="00EF1723">
        <w:rPr>
          <w:rFonts w:ascii="Arial" w:hAnsi="Arial" w:cs="Arial"/>
          <w:spacing w:val="2"/>
        </w:rPr>
        <w:instrText>ADDIN CSL_CITATION {"citationItems":[{"id":"ITEM-1","itemData":{"author":[{"dropping-particle":"","family":"Herman","given":"Muhammad Barru","non-dropping-particle":"","parse-names":false,"suffix":""},{"dropping-particle":"","family":"Purwanto","given":"Agus","non-dropping-particle":"","parse-names":false,"suffix":""}],"container-title":"Journal of Accounting","id":"ITEM-1","issue":"1","issued":{"date-parts":[["2014"]]},"page":"1-12","title":"Pengaruh Manajemen Laba, Resiko Pasar, Komite Audit, Audit Eksternal dan Struktur Kepemilikkan terhadap nilai pasar (Studi empiris pada Perusahaan Manufaktur yang Terdaftar di Bursa Efek Indonesia Tahun 2011-2013","type":"article-journal","volume":"4"},"uris":["http://www.mendeley.com/documents/?uuid=75749302-b7bd-4fa9-9a91-8e925c540ae9"]}],"mendeley":{"formattedCitation":"(Herman &amp; Purwanto, 2014)","plainTextFormattedCitation":"(Herman &amp; Purwanto, 2014)","previouslyFormattedCitation":"(Herman &amp; Purwanto, 2014)"},"properties":{"noteIndex":0},"schema":"https://github.com/citation-style-language/schema/raw/master/csl-citation.json"}</w:instrText>
      </w:r>
      <w:r w:rsidR="00EF1723">
        <w:rPr>
          <w:rFonts w:ascii="Arial" w:hAnsi="Arial" w:cs="Arial"/>
          <w:spacing w:val="2"/>
        </w:rPr>
        <w:fldChar w:fldCharType="separate"/>
      </w:r>
      <w:r w:rsidR="00EF1723" w:rsidRPr="00EF1723">
        <w:rPr>
          <w:rFonts w:ascii="Arial" w:hAnsi="Arial" w:cs="Arial"/>
          <w:noProof/>
          <w:spacing w:val="2"/>
        </w:rPr>
        <w:t>(Herman &amp; Purwanto, 2014)</w:t>
      </w:r>
      <w:r w:rsidR="00EF1723">
        <w:rPr>
          <w:rFonts w:ascii="Arial" w:hAnsi="Arial" w:cs="Arial"/>
          <w:spacing w:val="2"/>
        </w:rPr>
        <w:fldChar w:fldCharType="end"/>
      </w:r>
      <w:r w:rsidR="00EF1723">
        <w:rPr>
          <w:rFonts w:ascii="Arial" w:hAnsi="Arial" w:cs="Arial"/>
          <w:spacing w:val="2"/>
        </w:rPr>
        <w:t xml:space="preserve">. </w:t>
      </w:r>
      <w:r w:rsidR="00B75917">
        <w:rPr>
          <w:rFonts w:ascii="Arial" w:hAnsi="Arial" w:cs="Arial"/>
          <w:spacing w:val="2"/>
        </w:rPr>
        <w:t>PT Timah Tbk dituding telah melakukan manipulasi laporan keuangan terlihat dari laporan keuangan semester I-2015 menunjukkan kinerja yang positif padahal laba operasi rugi sebesar Rp. 59 miliar</w:t>
      </w:r>
      <w:r w:rsidR="00EF1723">
        <w:rPr>
          <w:rFonts w:ascii="Arial" w:hAnsi="Arial" w:cs="Arial"/>
          <w:spacing w:val="2"/>
        </w:rPr>
        <w:t xml:space="preserve"> </w:t>
      </w:r>
      <w:r w:rsidR="00EF1723">
        <w:rPr>
          <w:rFonts w:ascii="Arial" w:hAnsi="Arial" w:cs="Arial"/>
          <w:spacing w:val="2"/>
        </w:rPr>
        <w:fldChar w:fldCharType="begin" w:fldLock="1"/>
      </w:r>
      <w:r w:rsidR="00EF1723">
        <w:rPr>
          <w:rFonts w:ascii="Arial" w:hAnsi="Arial" w:cs="Arial"/>
          <w:spacing w:val="2"/>
        </w:rPr>
        <w:instrText>ADDIN CSL_CITATION {"citationItems":[{"id":"ITEM-1","itemData":{"author":[{"dropping-particle":"","family":"Afriyanto","given":"Dedy","non-dropping-particle":"","parse-names":false,"suffix":""}],"id":"ITEM-1","issued":{"date-parts":[["2019"]]},"title":"Direksi Timah Dituding Manipulasi Laporan Keuangan","type":"article-newspaper"},"uris":["http://www.mendeley.com/documents/?uuid=42645bf8-ff7b-4fc5-8b12-4d18d92d5af6"]}],"mendeley":{"formattedCitation":"(Afriyanto, 2019)","plainTextFormattedCitation":"(Afriyanto, 2019)","previouslyFormattedCitation":"(Afriyanto, 2019)"},"properties":{"noteIndex":0},"schema":"https://github.com/citation-style-language/schema/raw/master/csl-citation.json"}</w:instrText>
      </w:r>
      <w:r w:rsidR="00EF1723">
        <w:rPr>
          <w:rFonts w:ascii="Arial" w:hAnsi="Arial" w:cs="Arial"/>
          <w:spacing w:val="2"/>
        </w:rPr>
        <w:fldChar w:fldCharType="separate"/>
      </w:r>
      <w:r w:rsidR="00EF1723" w:rsidRPr="00EF1723">
        <w:rPr>
          <w:rFonts w:ascii="Arial" w:hAnsi="Arial" w:cs="Arial"/>
          <w:noProof/>
          <w:spacing w:val="2"/>
        </w:rPr>
        <w:t>(Afriyanto, 2019)</w:t>
      </w:r>
      <w:r w:rsidR="00EF1723">
        <w:rPr>
          <w:rFonts w:ascii="Arial" w:hAnsi="Arial" w:cs="Arial"/>
          <w:spacing w:val="2"/>
        </w:rPr>
        <w:fldChar w:fldCharType="end"/>
      </w:r>
      <w:r w:rsidR="00EF1723">
        <w:rPr>
          <w:rFonts w:ascii="Arial" w:hAnsi="Arial" w:cs="Arial"/>
          <w:spacing w:val="2"/>
        </w:rPr>
        <w:t>.</w:t>
      </w:r>
      <w:r w:rsidR="00B75917">
        <w:rPr>
          <w:rFonts w:ascii="Arial" w:hAnsi="Arial" w:cs="Arial"/>
          <w:spacing w:val="2"/>
        </w:rPr>
        <w:t xml:space="preserve"> </w:t>
      </w:r>
    </w:p>
    <w:p w:rsidR="00B75917" w:rsidRDefault="00EF1723" w:rsidP="009A6744">
      <w:pPr>
        <w:spacing w:after="0" w:line="240" w:lineRule="auto"/>
        <w:ind w:firstLine="720"/>
        <w:jc w:val="both"/>
        <w:rPr>
          <w:rFonts w:ascii="Arial" w:hAnsi="Arial" w:cs="Arial"/>
          <w:spacing w:val="2"/>
        </w:rPr>
      </w:pPr>
      <w:r>
        <w:rPr>
          <w:rFonts w:ascii="Arial" w:hAnsi="Arial" w:cs="Arial"/>
          <w:spacing w:val="2"/>
        </w:rPr>
        <w:fldChar w:fldCharType="begin" w:fldLock="1"/>
      </w:r>
      <w:r>
        <w:rPr>
          <w:rFonts w:ascii="Arial" w:hAnsi="Arial" w:cs="Arial"/>
          <w:spacing w:val="2"/>
        </w:rPr>
        <w:instrText>ADDIN CSL_CITATION {"citationItems":[{"id":"ITEM-1","itemData":{"author":[{"dropping-particle":"","family":"Yorke","given":"Sally M","non-dropping-particle":"","parse-names":false,"suffix":""},{"dropping-particle":"","family":"Amidu","given":"Mohammad","non-dropping-particle":"","parse-names":false,"suffix":""},{"dropping-particle":"","family":"Agyemin-Boateng","given":"Cletus","non-dropping-particle":"","parse-names":false,"suffix":""}],"container-title":"International Journal of Management Practices","id":"ITEM-1","issue":"2","issued":{"date-parts":[["2016"]]},"page":"112-131","title":"The effects of earning management and corporate tax avoidance on firm value","type":"article-journal","volume":"9"},"uris":["http://www.mendeley.com/documents/?uuid=ea8fc7bb-e087-4834-b210-ba79de47fcd1"]}],"mendeley":{"formattedCitation":"(Yorke et al., 2016)","manualFormatting":"Yorke et al. (2016)","plainTextFormattedCitation":"(Yorke et al., 2016)","previouslyFormattedCitation":"(Yorke et al., 2016)"},"properties":{"noteIndex":0},"schema":"https://github.com/citation-style-language/schema/raw/master/csl-citation.json"}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Yorke et al. (</w:t>
      </w:r>
      <w:r w:rsidRPr="00EF1723">
        <w:rPr>
          <w:rFonts w:ascii="Arial" w:hAnsi="Arial" w:cs="Arial"/>
          <w:noProof/>
          <w:spacing w:val="2"/>
        </w:rPr>
        <w:t>2016)</w:t>
      </w:r>
      <w:r>
        <w:rPr>
          <w:rFonts w:ascii="Arial" w:hAnsi="Arial" w:cs="Arial"/>
          <w:spacing w:val="2"/>
        </w:rPr>
        <w:fldChar w:fldCharType="end"/>
      </w:r>
      <w:r w:rsidR="00B75917">
        <w:rPr>
          <w:rFonts w:ascii="Arial" w:hAnsi="Arial" w:cs="Arial"/>
          <w:spacing w:val="2"/>
        </w:rPr>
        <w:t xml:space="preserve">, hasil penelitian menunjukkan bahwa manajemen laba menurunkan nilai perusahaan. </w:t>
      </w:r>
      <w:r>
        <w:rPr>
          <w:rFonts w:ascii="Arial" w:hAnsi="Arial" w:cs="Arial"/>
          <w:spacing w:val="2"/>
        </w:rPr>
        <w:fldChar w:fldCharType="begin" w:fldLock="1"/>
      </w:r>
      <w:r>
        <w:rPr>
          <w:rFonts w:ascii="Arial" w:hAnsi="Arial" w:cs="Arial"/>
          <w:spacing w:val="2"/>
        </w:rPr>
        <w:instrText>ADDIN CSL_CITATION {"citationItems":[{"id":"ITEM-1","itemData":{"author":[{"dropping-particle":"","family":"Jong","given":"De","non-dropping-particle":"","parse-names":false,"suffix":""},{"dropping-particle":"","family":"Abe","given":"Mertens","non-dropping-particle":"","parse-names":false,"suffix":""},{"dropping-particle":"","family":"Gerard","given":"van der Poel","non-dropping-particle":"","parse-names":false,"suffix":""},{"dropping-particle":"","family":"Marieke","given":"","non-dropping-particle":"","parse-names":false,"suffix":""},{"dropping-particle":"","family":"Dijk","given":"Ronald","non-dropping-particle":"Van","parse-names":false,"suffix":""}],"container-title":"Review of Accounting Studies","id":"ITEM-1","issue":"2","issued":{"date-parts":[["2014"]]},"page":"606-627","title":"How does earning management influence investors perceptions of firm value. Survey evidence from financial analysist","type":"article-journal","volume":"19"},"uris":["http://www.mendeley.com/documents/?uuid=94dd9921-f092-4313-b291-945b7012db7f"]}],"mendeley":{"formattedCitation":"(Jong et al., 2014)","manualFormatting":"Jong et al. (2014)","plainTextFormattedCitation":"(Jong et al., 2014)","previouslyFormattedCitation":"(Jong et al., 2014)"},"properties":{"noteIndex":0},"schema":"https://github.com/citation-style-language/schema/raw/master/csl-citation.json"}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Jong et al. (</w:t>
      </w:r>
      <w:r w:rsidRPr="00EF1723">
        <w:rPr>
          <w:rFonts w:ascii="Arial" w:hAnsi="Arial" w:cs="Arial"/>
          <w:noProof/>
          <w:spacing w:val="2"/>
        </w:rPr>
        <w:t>2014)</w:t>
      </w:r>
      <w:r>
        <w:rPr>
          <w:rFonts w:ascii="Arial" w:hAnsi="Arial" w:cs="Arial"/>
          <w:spacing w:val="2"/>
        </w:rPr>
        <w:fldChar w:fldCharType="end"/>
      </w:r>
      <w:r w:rsidR="00A31903">
        <w:rPr>
          <w:rFonts w:ascii="Arial" w:hAnsi="Arial" w:cs="Arial"/>
          <w:spacing w:val="2"/>
        </w:rPr>
        <w:t xml:space="preserve">, tindakan manajemen laba yang dilakukan manajer dapat menghancurkan nilai perusahaan untuk jangka panjang. </w:t>
      </w:r>
      <w:r>
        <w:rPr>
          <w:rFonts w:ascii="Arial" w:hAnsi="Arial" w:cs="Arial"/>
          <w:spacing w:val="2"/>
        </w:rPr>
        <w:fldChar w:fldCharType="begin" w:fldLock="1"/>
      </w:r>
      <w:r>
        <w:rPr>
          <w:rFonts w:ascii="Arial" w:hAnsi="Arial" w:cs="Arial"/>
          <w:spacing w:val="2"/>
        </w:rPr>
        <w:instrText>ADDIN CSL_CITATION {"citationItems":[{"id":"ITEM-1","itemData":{"author":[{"dropping-particle":"","family":"Gill","given":"Amarjit","non-dropping-particle":"","parse-names":false,"suffix":""},{"dropping-particle":"","family":"Biger","given":"Nahum","non-dropping-particle":"","parse-names":false,"suffix":""},{"dropping-particle":"","family":"Mand","given":"Harvinder S","non-dropping-particle":"","parse-names":false,"suffix":""},{"dropping-particle":"","family":"Mathur","given":"Neil","non-dropping-particle":"","parse-names":false,"suffix":""}],"container-title":"International Research Journal of Finance and Economics","id":"ITEM-1","issue":"116","issued":{"date-parts":[["2013"]]},"page":"13-26","title":"Earnings management, firm performance, and the value of Indian manufacturing firms.","type":"article-journal"},"uris":["http://www.mendeley.com/documents/?uuid=4356d27e-5a82-43e1-9d4c-cb8d0d9fda8c"]}],"mendeley":{"formattedCitation":"(Gill et al., 2013)","manualFormatting":"Gill et al. (2013)","plainTextFormattedCitation":"(Gill et al., 2013)","previouslyFormattedCitation":"(Gill et al., 2013)"},"properties":{"noteIndex":0},"schema":"https://github.com/citation-style-language/schema/raw/master/csl-citation.json"}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Gill et al. (</w:t>
      </w:r>
      <w:r w:rsidRPr="00EF1723">
        <w:rPr>
          <w:rFonts w:ascii="Arial" w:hAnsi="Arial" w:cs="Arial"/>
          <w:noProof/>
          <w:spacing w:val="2"/>
        </w:rPr>
        <w:t>2013)</w:t>
      </w:r>
      <w:r>
        <w:rPr>
          <w:rFonts w:ascii="Arial" w:hAnsi="Arial" w:cs="Arial"/>
          <w:spacing w:val="2"/>
        </w:rPr>
        <w:fldChar w:fldCharType="end"/>
      </w:r>
      <w:r w:rsidR="00A31903">
        <w:rPr>
          <w:rFonts w:ascii="Arial" w:hAnsi="Arial" w:cs="Arial"/>
          <w:spacing w:val="2"/>
        </w:rPr>
        <w:t>, perusahaan yang melakukan manajemen laba akan menurunkan harga saham dan nilai pasar perusahaan. Manajemen sering melakukan manajemen laba dalam lingkup kebijakan hukum dan akuntansi</w:t>
      </w:r>
      <w:r>
        <w:rPr>
          <w:rFonts w:ascii="Arial" w:hAnsi="Arial" w:cs="Arial"/>
          <w:spacing w:val="2"/>
        </w:rPr>
        <w:t xml:space="preserve"> </w:t>
      </w:r>
      <w:r>
        <w:rPr>
          <w:rFonts w:ascii="Arial" w:hAnsi="Arial" w:cs="Arial"/>
          <w:spacing w:val="2"/>
        </w:rPr>
        <w:fldChar w:fldCharType="begin" w:fldLock="1"/>
      </w:r>
      <w:r>
        <w:rPr>
          <w:rFonts w:ascii="Arial" w:hAnsi="Arial" w:cs="Arial"/>
          <w:spacing w:val="2"/>
        </w:rPr>
        <w:instrText>ADDIN CSL_CITATION {"citationItems":[{"id":"ITEM-1","itemData":{"author":[{"dropping-particle":"","family":"Li","given":"Jinjin","non-dropping-particle":"","parse-names":false,"suffix":""},{"dropping-particle":"","family":"Wang","given":"Bo","non-dropping-particle":"","parse-names":false,"suffix":""},{"dropping-particle":"","family":"Guo","given":"Haifeng","non-dropping-particle":"","parse-names":false,"suffix":""}],"container-title":"International Review of Accounting, Banking &amp; Finance","id":"ITEM-1","issue":"1","issued":{"date-parts":[["2017"]]},"title":"Private Equity Characteristic Earning Management &amp; Firm Value","type":"article-journal","volume":"9"},"uris":["http://www.mendeley.com/documents/?uuid=2360a38d-7951-4e84-9840-029fb309a4a6"]}],"mendeley":{"formattedCitation":"(Li et al., 2017)","plainTextFormattedCitation":"(Li et al., 2017)","previouslyFormattedCitation":"(Li et al., 2017)"},"properties":{"noteIndex":0},"schema":"https://github.com/citation-style-language/schema/raw/master/csl-citation.json"}</w:instrText>
      </w:r>
      <w:r>
        <w:rPr>
          <w:rFonts w:ascii="Arial" w:hAnsi="Arial" w:cs="Arial"/>
          <w:spacing w:val="2"/>
        </w:rPr>
        <w:fldChar w:fldCharType="separate"/>
      </w:r>
      <w:r w:rsidRPr="00EF1723">
        <w:rPr>
          <w:rFonts w:ascii="Arial" w:hAnsi="Arial" w:cs="Arial"/>
          <w:noProof/>
          <w:spacing w:val="2"/>
        </w:rPr>
        <w:t>(Li et al., 2017)</w:t>
      </w:r>
      <w:r>
        <w:rPr>
          <w:rFonts w:ascii="Arial" w:hAnsi="Arial" w:cs="Arial"/>
          <w:spacing w:val="2"/>
        </w:rPr>
        <w:fldChar w:fldCharType="end"/>
      </w:r>
      <w:r w:rsidR="00A31903">
        <w:rPr>
          <w:rFonts w:ascii="Arial" w:hAnsi="Arial" w:cs="Arial"/>
          <w:spacing w:val="2"/>
        </w:rPr>
        <w:t xml:space="preserve">. </w:t>
      </w:r>
      <w:r>
        <w:rPr>
          <w:rFonts w:ascii="Arial" w:hAnsi="Arial" w:cs="Arial"/>
          <w:spacing w:val="2"/>
        </w:rPr>
        <w:fldChar w:fldCharType="begin" w:fldLock="1"/>
      </w:r>
      <w:r>
        <w:rPr>
          <w:rFonts w:ascii="Arial" w:hAnsi="Arial" w:cs="Arial"/>
          <w:spacing w:val="2"/>
        </w:rPr>
        <w:instrText>ADDIN CSL_CITATION {"citationItems":[{"id":"ITEM-1","itemData":{"author":[{"dropping-particle":"","family":"Tandry","given":"Agatha Yosephine","non-dropping-particle":"","parse-names":false,"suffix":""},{"dropping-particle":"","family":"Setiawati","given":"Lulu","non-dropping-particle":"","parse-names":false,"suffix":""},{"dropping-particle":"","family":"Setiawan","given":"Evelyn","non-dropping-particle":"","parse-names":false,"suffix":""}],"container-title":"International Journal of Trade and Global Markets","id":"ITEM-1","issue":"3","issued":{"date-parts":[["2014"]]},"page":"190-204","title":"The effect of CSR disclousure to firm value with earning management as moderating variable: case study of non-financing firms listed at Indonesia Stock Exchange","type":"article-journal","volume":"7"},"uris":["http://www.mendeley.com/documents/?uuid=efaf484a-0630-482a-885d-0d740bebfbee"]}],"mendeley":{"formattedCitation":"(Tandry et al., 2014)","manualFormatting":"Tandry et al. (2014)","plainTextFormattedCitation":"(Tandry et al., 2014)","previouslyFormattedCitation":"(Tandry et al., 2014)"},"properties":{"noteIndex":0},"schema":"https://github.com/citation-style-language/schema/raw/master/csl-citation.json"}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Tandry et al. (</w:t>
      </w:r>
      <w:r w:rsidRPr="00EF1723">
        <w:rPr>
          <w:rFonts w:ascii="Arial" w:hAnsi="Arial" w:cs="Arial"/>
          <w:noProof/>
          <w:spacing w:val="2"/>
        </w:rPr>
        <w:t>2014)</w:t>
      </w:r>
      <w:r>
        <w:rPr>
          <w:rFonts w:ascii="Arial" w:hAnsi="Arial" w:cs="Arial"/>
          <w:spacing w:val="2"/>
        </w:rPr>
        <w:fldChar w:fldCharType="end"/>
      </w:r>
      <w:r w:rsidR="00075DE3">
        <w:rPr>
          <w:rFonts w:ascii="Arial" w:hAnsi="Arial" w:cs="Arial"/>
          <w:spacing w:val="2"/>
        </w:rPr>
        <w:t xml:space="preserve">, </w:t>
      </w:r>
      <w:r w:rsidR="00B75917">
        <w:rPr>
          <w:rFonts w:ascii="Arial" w:hAnsi="Arial" w:cs="Arial"/>
          <w:spacing w:val="2"/>
        </w:rPr>
        <w:t>mengungkapkan bahwa manajemen akan membuat laporan keuangan sebaik mungkin untuk menarik investor agar berinve</w:t>
      </w:r>
      <w:r w:rsidR="00075DE3">
        <w:rPr>
          <w:rFonts w:ascii="Arial" w:hAnsi="Arial" w:cs="Arial"/>
          <w:spacing w:val="2"/>
        </w:rPr>
        <w:t xml:space="preserve">stasi di perusahaan. Sementara </w:t>
      </w:r>
      <w:r>
        <w:rPr>
          <w:rFonts w:ascii="Arial" w:hAnsi="Arial" w:cs="Arial"/>
          <w:spacing w:val="2"/>
        </w:rPr>
        <w:fldChar w:fldCharType="begin" w:fldLock="1"/>
      </w:r>
      <w:r>
        <w:rPr>
          <w:rFonts w:ascii="Arial" w:hAnsi="Arial" w:cs="Arial"/>
          <w:spacing w:val="2"/>
        </w:rPr>
        <w:instrText>ADDIN CSL_CITATION {"citationItems":[{"id":"ITEM-1","itemData":{"author":[{"dropping-particle":"","family":"Suffian","given":"Mohd Taufik","non-dropping-particle":"","parse-names":false,"suffix":""},{"dropping-particle":"","family":"Mohd","given":"Mohd Sanusi","non-dropping-particle":"","parse-names":false,"suffix":""},{"dropping-particle":"","family":"Mastuki","given":"Nor’azam","non-dropping-particle":"","parse-names":false,"suffix":""}],"container-title":"Malaysian Accounting Review","id":"ITEM-1","issue":"1","issued":{"date-parts":[["2015"]]},"page":"26-47","title":"Real earning management and firm value: Empirical evidence from Malaysia","type":"article-journal","volume":"14"},"uris":["http://www.mendeley.com/documents/?uuid=10a1ec48-05ba-4ef7-a441-5f59a9695f4b"]}],"mendeley":{"formattedCitation":"(Suffian et al., 2015)","manualFormatting":"Suffian et al. (2015)","plainTextFormattedCitation":"(Suffian et al., 2015)","previouslyFormattedCitation":"(Suffian et al., 2015)"},"properties":{"noteIndex":0},"schema":"https://github.com/citation-style-language/schema/raw/master/csl-citation.json"}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Suffian et al. (</w:t>
      </w:r>
      <w:r w:rsidRPr="00EF1723">
        <w:rPr>
          <w:rFonts w:ascii="Arial" w:hAnsi="Arial" w:cs="Arial"/>
          <w:noProof/>
          <w:spacing w:val="2"/>
        </w:rPr>
        <w:t>2015)</w:t>
      </w:r>
      <w:r>
        <w:rPr>
          <w:rFonts w:ascii="Arial" w:hAnsi="Arial" w:cs="Arial"/>
          <w:spacing w:val="2"/>
        </w:rPr>
        <w:fldChar w:fldCharType="end"/>
      </w:r>
      <w:r w:rsidR="00B75917">
        <w:rPr>
          <w:rFonts w:ascii="Arial" w:hAnsi="Arial" w:cs="Arial"/>
          <w:spacing w:val="2"/>
        </w:rPr>
        <w:t xml:space="preserve">, mengungkapkan bahwa manajemen laba dapat meningkatkan nilai perusahaan. </w:t>
      </w:r>
      <w:r>
        <w:rPr>
          <w:rFonts w:ascii="Arial" w:hAnsi="Arial" w:cs="Arial"/>
          <w:spacing w:val="2"/>
        </w:rPr>
        <w:fldChar w:fldCharType="begin" w:fldLock="1"/>
      </w:r>
      <w:r w:rsidR="00532721">
        <w:rPr>
          <w:rFonts w:ascii="Arial" w:hAnsi="Arial" w:cs="Arial"/>
          <w:spacing w:val="2"/>
        </w:rPr>
        <w:instrText>ADDIN CSL_CITATION {"citationItems":[{"id":"ITEM-1","itemData":{"author":[{"dropping-particle":"","family":"Helmayunita","given":"Nayang","non-dropping-particle":"","parse-names":false,"suffix":""},{"dropping-particle":"","family":"Sari","given":"Vita Fitria","non-dropping-particle":"","parse-names":false,"suffix":""}],"container-title":"Wahana Riset Akuntansi","id":"ITEM-1","issue":"1","issued":{"date-parts":[["2013"]]},"title":"Pengaruh Manajemen Laba dan Struktur Kepemilikkkan Perusahaan terhadap Nilai Perusahaan","type":"article-journal","volume":"1"},"uris":["http://www.mendeley.com/documents/?uuid=8627c7f0-0d8d-41df-86a9-ddefe22c3012"]}],"mendeley":{"formattedCitation":"(Helmayunita &amp; Sari, 2013)","manualFormatting":"Helmayunita &amp; Sari (2013)","plainTextFormattedCitation":"(Helmayunita &amp; Sari, 2013)","previouslyFormattedCitation":"(Helmayunita &amp; Sari, 2013)"},"properties":{"noteIndex":0},"schema":"https://github.com/citation-style-language/schema/raw/master/csl-citation.json"}</w:instrText>
      </w:r>
      <w:r>
        <w:rPr>
          <w:rFonts w:ascii="Arial" w:hAnsi="Arial" w:cs="Arial"/>
          <w:spacing w:val="2"/>
        </w:rPr>
        <w:fldChar w:fldCharType="separate"/>
      </w:r>
      <w:r>
        <w:rPr>
          <w:rFonts w:ascii="Arial" w:hAnsi="Arial" w:cs="Arial"/>
          <w:noProof/>
          <w:spacing w:val="2"/>
        </w:rPr>
        <w:t>Helmayunita &amp; Sari (</w:t>
      </w:r>
      <w:r w:rsidRPr="00EF1723">
        <w:rPr>
          <w:rFonts w:ascii="Arial" w:hAnsi="Arial" w:cs="Arial"/>
          <w:noProof/>
          <w:spacing w:val="2"/>
        </w:rPr>
        <w:t>2013)</w:t>
      </w:r>
      <w:r>
        <w:rPr>
          <w:rFonts w:ascii="Arial" w:hAnsi="Arial" w:cs="Arial"/>
          <w:spacing w:val="2"/>
        </w:rPr>
        <w:fldChar w:fldCharType="end"/>
      </w:r>
      <w:r w:rsidR="00075DE3">
        <w:rPr>
          <w:rFonts w:ascii="Arial" w:hAnsi="Arial" w:cs="Arial"/>
          <w:spacing w:val="2"/>
        </w:rPr>
        <w:t xml:space="preserve">, manajemen laba </w:t>
      </w:r>
      <w:r w:rsidR="00B75917">
        <w:rPr>
          <w:rFonts w:ascii="Arial" w:hAnsi="Arial" w:cs="Arial"/>
          <w:spacing w:val="2"/>
        </w:rPr>
        <w:t xml:space="preserve">yang dilakukan perusahaan dapat menaikkan nilai perusahaan dalam jangka waktu pendek. </w:t>
      </w:r>
    </w:p>
    <w:p w:rsidR="00A31903" w:rsidRDefault="00B75917" w:rsidP="004702B3">
      <w:pPr>
        <w:spacing w:after="0" w:line="240" w:lineRule="auto"/>
        <w:ind w:firstLine="720"/>
        <w:jc w:val="both"/>
        <w:rPr>
          <w:rFonts w:ascii="Arial" w:hAnsi="Arial" w:cs="Arial"/>
          <w:spacing w:val="2"/>
        </w:rPr>
      </w:pPr>
      <w:r>
        <w:rPr>
          <w:rFonts w:ascii="Arial" w:hAnsi="Arial" w:cs="Arial"/>
          <w:spacing w:val="2"/>
        </w:rPr>
        <w:t xml:space="preserve">Teori agensi mengungkapkan bahwa pemegang saham pengendali utama mengendalikan dan memantau para manajer dalam melakukan kegiatan bisns di perusahaan untuk meminimalisir masalah keagenan dapat mengurangi biaya agendi berdampak peningkatan nilai perusahaan </w:t>
      </w:r>
      <w:r w:rsidR="00532721">
        <w:rPr>
          <w:rFonts w:ascii="Arial" w:hAnsi="Arial" w:cs="Arial"/>
          <w:spacing w:val="2"/>
        </w:rPr>
        <w:fldChar w:fldCharType="begin" w:fldLock="1"/>
      </w:r>
      <w:r w:rsidR="00532721">
        <w:rPr>
          <w:rFonts w:ascii="Arial" w:hAnsi="Arial" w:cs="Arial"/>
          <w:spacing w:val="2"/>
        </w:rPr>
        <w:instrText>ADDIN CSL_CITATION {"citationItems":[{"id":"ITEM-1","itemData":{"DOI":"10.15722/jds.15.4.201704.5","author":[{"dropping-particle":"","family":"Kim","given":"D.W","non-dropping-particle":"","parse-names":false,"suffix":""},{"dropping-particle":"","family":"Kim","given":"B.G","non-dropping-particle":"","parse-names":false,"suffix":""},{"dropping-particle":"","family":"Youn","given":"M.K","non-dropping-particle":"","parse-names":false,"suffix":""}],"container-title":"Journal of Distribution Science","id":"ITEM-1","issue":"4","issued":{"date-parts":[["2017"]]},"page":"5-13","title":"Family ownership and firm value: perspective to related-party transaction and wealth tranfer","type":"article-journal","volume":"15"},"uris":["http://www.mendeley.com/documents/?uuid=78d77623-8547-4851-afd5-d9bca69bd4d5"]}],"mendeley":{"formattedCitation":"(Kim et al., 2017)","plainTextFormattedCitation":"(Kim et al., 2017)","previouslyFormattedCitation":"(Kim et al., 2017)"},"properties":{"noteIndex":0},"schema":"https://github.com/citation-style-language/schema/raw/master/csl-citation.json"}</w:instrText>
      </w:r>
      <w:r w:rsidR="00532721">
        <w:rPr>
          <w:rFonts w:ascii="Arial" w:hAnsi="Arial" w:cs="Arial"/>
          <w:spacing w:val="2"/>
        </w:rPr>
        <w:fldChar w:fldCharType="separate"/>
      </w:r>
      <w:r w:rsidR="00532721" w:rsidRPr="00532721">
        <w:rPr>
          <w:rFonts w:ascii="Arial" w:hAnsi="Arial" w:cs="Arial"/>
          <w:noProof/>
          <w:spacing w:val="2"/>
        </w:rPr>
        <w:t>(Kim et al., 2017)</w:t>
      </w:r>
      <w:r w:rsidR="00532721">
        <w:rPr>
          <w:rFonts w:ascii="Arial" w:hAnsi="Arial" w:cs="Arial"/>
          <w:spacing w:val="2"/>
        </w:rPr>
        <w:fldChar w:fldCharType="end"/>
      </w:r>
      <w:r w:rsidR="00532721">
        <w:rPr>
          <w:rFonts w:ascii="Arial" w:hAnsi="Arial" w:cs="Arial"/>
          <w:spacing w:val="2"/>
        </w:rPr>
        <w:t xml:space="preserve">. </w:t>
      </w:r>
      <w:r>
        <w:rPr>
          <w:rFonts w:ascii="Arial" w:hAnsi="Arial" w:cs="Arial"/>
          <w:spacing w:val="2"/>
        </w:rPr>
        <w:t>Penelitian ini menggunakan sektor pertambangan karena produksi minyak bumi da</w:t>
      </w:r>
      <w:r w:rsidR="00A31903">
        <w:rPr>
          <w:rFonts w:ascii="Arial" w:hAnsi="Arial" w:cs="Arial"/>
          <w:spacing w:val="2"/>
        </w:rPr>
        <w:t>n batu bara dari tahun 2012-2015</w:t>
      </w:r>
      <w:r>
        <w:rPr>
          <w:rFonts w:ascii="Arial" w:hAnsi="Arial" w:cs="Arial"/>
          <w:spacing w:val="2"/>
        </w:rPr>
        <w:t xml:space="preserve"> mengalami penurunan</w:t>
      </w:r>
      <w:r w:rsidR="00A31903">
        <w:rPr>
          <w:rFonts w:ascii="Arial" w:hAnsi="Arial" w:cs="Arial"/>
          <w:spacing w:val="2"/>
        </w:rPr>
        <w:t xml:space="preserve">, sedangkan minyak bumi dan batu bara merupakan komoditi dari sektor pertambangan. Ketika kedua komoditi mengalami penurunan berdampak pada harga saham. Harga saham rendah maka investor enggan berinvestasi pada perusahaan sehingga nilai perusahaan menurun. </w:t>
      </w:r>
    </w:p>
    <w:p w:rsidR="009A6744" w:rsidRPr="005F1AF4" w:rsidRDefault="00A31903" w:rsidP="00A31903">
      <w:pPr>
        <w:spacing w:after="0" w:line="240" w:lineRule="auto"/>
        <w:ind w:firstLine="720"/>
        <w:jc w:val="both"/>
        <w:rPr>
          <w:rFonts w:ascii="Arial" w:hAnsi="Arial" w:cs="Arial"/>
          <w:spacing w:val="2"/>
        </w:rPr>
      </w:pPr>
      <w:r>
        <w:rPr>
          <w:rFonts w:ascii="Arial" w:hAnsi="Arial" w:cs="Arial"/>
          <w:spacing w:val="2"/>
        </w:rPr>
        <w:t xml:space="preserve">Hasil penelitian yang belum konsisten dan fenomena yang ada memotivasi peneliti untuk menguji kembali pengaruh manajemen laba terhadap nilai perusahaan. Tujuan penelitian ini untuk menguji pengaruh manajemen laba terhadap nilai perusahaan. </w:t>
      </w:r>
    </w:p>
    <w:p w:rsidR="009A6744" w:rsidRPr="005F1AF4" w:rsidRDefault="009A6744" w:rsidP="009A6744">
      <w:pPr>
        <w:spacing w:after="0" w:line="240" w:lineRule="auto"/>
        <w:jc w:val="both"/>
        <w:rPr>
          <w:rFonts w:ascii="Arial" w:hAnsi="Arial" w:cs="Arial"/>
          <w:spacing w:val="2"/>
        </w:rPr>
      </w:pPr>
    </w:p>
    <w:p w:rsidR="009A6744" w:rsidRDefault="009A6744" w:rsidP="009A6744">
      <w:pPr>
        <w:spacing w:before="120" w:after="0" w:line="240" w:lineRule="auto"/>
        <w:jc w:val="both"/>
        <w:rPr>
          <w:rFonts w:ascii="Arial" w:hAnsi="Arial" w:cs="Arial"/>
          <w:b/>
          <w:bCs/>
        </w:rPr>
      </w:pPr>
      <w:r w:rsidRPr="005F1AF4">
        <w:rPr>
          <w:rFonts w:ascii="Arial" w:hAnsi="Arial" w:cs="Arial"/>
          <w:b/>
          <w:bCs/>
          <w:lang w:val="en-GB"/>
        </w:rPr>
        <w:t>MET</w:t>
      </w:r>
      <w:r w:rsidRPr="005F1AF4">
        <w:rPr>
          <w:rFonts w:ascii="Arial" w:hAnsi="Arial" w:cs="Arial"/>
          <w:b/>
          <w:bCs/>
        </w:rPr>
        <w:t>ODE PENELITIAN</w:t>
      </w:r>
    </w:p>
    <w:p w:rsidR="006747DF" w:rsidRPr="005F1AF4" w:rsidRDefault="006747DF" w:rsidP="009A6744">
      <w:pPr>
        <w:spacing w:before="120" w:after="0" w:line="240" w:lineRule="auto"/>
        <w:jc w:val="both"/>
        <w:rPr>
          <w:rFonts w:ascii="Arial" w:hAnsi="Arial" w:cs="Arial"/>
          <w:b/>
          <w:bCs/>
        </w:rPr>
      </w:pPr>
    </w:p>
    <w:p w:rsidR="00935940" w:rsidRDefault="00935940" w:rsidP="00935940">
      <w:pPr>
        <w:spacing w:after="0" w:line="240" w:lineRule="auto"/>
        <w:jc w:val="both"/>
        <w:rPr>
          <w:rFonts w:ascii="Arial" w:hAnsi="Arial" w:cs="Arial"/>
        </w:rPr>
      </w:pPr>
      <w:r>
        <w:rPr>
          <w:rFonts w:ascii="Arial" w:hAnsi="Arial" w:cs="Arial"/>
        </w:rPr>
        <w:t>Jenis penelitian</w:t>
      </w:r>
    </w:p>
    <w:p w:rsidR="006747DF" w:rsidRDefault="006747DF" w:rsidP="00935940">
      <w:pPr>
        <w:spacing w:after="0" w:line="240" w:lineRule="auto"/>
        <w:jc w:val="both"/>
        <w:rPr>
          <w:rFonts w:ascii="Arial" w:hAnsi="Arial" w:cs="Arial"/>
        </w:rPr>
      </w:pPr>
    </w:p>
    <w:p w:rsidR="00935940" w:rsidRDefault="00935940" w:rsidP="00935940">
      <w:pPr>
        <w:spacing w:after="0" w:line="240" w:lineRule="auto"/>
        <w:jc w:val="both"/>
        <w:rPr>
          <w:rFonts w:ascii="Arial" w:hAnsi="Arial" w:cs="Arial"/>
        </w:rPr>
      </w:pPr>
      <w:r>
        <w:rPr>
          <w:rFonts w:ascii="Arial" w:hAnsi="Arial" w:cs="Arial"/>
        </w:rPr>
        <w:t xml:space="preserve">Penelitian yang digunakan pada penelitian ini adalah penellitian kuantitatif. </w:t>
      </w:r>
    </w:p>
    <w:p w:rsidR="006747DF" w:rsidRDefault="006747DF" w:rsidP="00935940">
      <w:pPr>
        <w:spacing w:after="0" w:line="240" w:lineRule="auto"/>
        <w:jc w:val="both"/>
        <w:rPr>
          <w:rFonts w:ascii="Arial" w:hAnsi="Arial" w:cs="Arial"/>
        </w:rPr>
      </w:pPr>
    </w:p>
    <w:p w:rsidR="00935940" w:rsidRDefault="00935940" w:rsidP="00935940">
      <w:pPr>
        <w:spacing w:after="0" w:line="240" w:lineRule="auto"/>
        <w:jc w:val="both"/>
        <w:rPr>
          <w:rFonts w:ascii="Arial" w:hAnsi="Arial" w:cs="Arial"/>
        </w:rPr>
      </w:pPr>
      <w:r>
        <w:rPr>
          <w:rFonts w:ascii="Arial" w:hAnsi="Arial" w:cs="Arial"/>
        </w:rPr>
        <w:t>Variabel penelitian dan pengukuran</w:t>
      </w:r>
    </w:p>
    <w:p w:rsidR="006747DF" w:rsidRDefault="006747DF" w:rsidP="00935940">
      <w:pPr>
        <w:spacing w:after="0" w:line="240" w:lineRule="auto"/>
        <w:jc w:val="both"/>
        <w:rPr>
          <w:rFonts w:ascii="Arial" w:hAnsi="Arial" w:cs="Arial"/>
        </w:rPr>
      </w:pPr>
    </w:p>
    <w:p w:rsidR="00935940" w:rsidRDefault="00935940" w:rsidP="00935940">
      <w:pPr>
        <w:spacing w:after="0" w:line="240" w:lineRule="auto"/>
        <w:jc w:val="both"/>
        <w:rPr>
          <w:rFonts w:ascii="Arial" w:hAnsi="Arial" w:cs="Arial"/>
        </w:rPr>
      </w:pPr>
      <w:r>
        <w:rPr>
          <w:rFonts w:ascii="Arial" w:hAnsi="Arial" w:cs="Arial"/>
        </w:rPr>
        <w:t>Nilai perusaaan</w:t>
      </w:r>
    </w:p>
    <w:p w:rsidR="00935940" w:rsidRDefault="00935940" w:rsidP="00935940">
      <w:pPr>
        <w:spacing w:after="0" w:line="240" w:lineRule="auto"/>
        <w:jc w:val="both"/>
        <w:rPr>
          <w:rFonts w:ascii="Arial" w:hAnsi="Arial" w:cs="Arial"/>
        </w:rPr>
      </w:pPr>
      <w:r>
        <w:rPr>
          <w:rFonts w:ascii="Arial" w:hAnsi="Arial" w:cs="Arial"/>
        </w:rPr>
        <w:t xml:space="preserve">Nilai perusahaan sebagai nilai pasar perusaaa dibagi dengan penggantian modal. Pengukuran nilai perusahaan menggunakan Tobin’s Q yang digunakan oleh </w:t>
      </w:r>
      <w:r w:rsidR="00532721">
        <w:rPr>
          <w:rFonts w:ascii="Arial" w:hAnsi="Arial" w:cs="Arial"/>
        </w:rPr>
        <w:fldChar w:fldCharType="begin" w:fldLock="1"/>
      </w:r>
      <w:r w:rsidR="00532721">
        <w:rPr>
          <w:rFonts w:ascii="Arial" w:hAnsi="Arial" w:cs="Arial"/>
        </w:rPr>
        <w:instrText>ADDIN CSL_CITATION {"citationItems":[{"id":"ITEM-1","itemData":{"DOI":"10.2307/3665623","ISSN":"00463892","abstract":"Develops a simple formula for approximating Tobin's q, which is defined as the ratio of the market value of a firm to the replacement cost of its assets. Financial and accounting requirements of the formula; Comparison of the approximate q vales with those obtained via Lindenberg and Ross' model.","author":[{"dropping-particle":"","family":"Chung","given":"Kee H.","non-dropping-particle":"","parse-names":false,"suffix":""},{"dropping-particle":"","family":"Pruitt","given":"Stephen W.","non-dropping-particle":"","parse-names":false,"suffix":""}],"container-title":"Financial Management","id":"ITEM-1","issue":"3","issued":{"date-parts":[["2007"]]},"page":"70","title":"A Simple Approximation of Tobin's q","type":"article-journal","volume":"23"},"uris":["http://www.mendeley.com/documents/?uuid=f963f4ba-0372-4fbd-8bc8-17e7851497c4"]}],"mendeley":{"formattedCitation":"(Chung &amp; Pruitt, 2007)","plainTextFormattedCitation":"(Chung &amp; Pruitt, 2007)","previouslyFormattedCitation":"(Chung &amp; Pruitt, 2007)"},"properties":{"noteIndex":0},"schema":"https://github.com/citation-style-language/schema/raw/master/csl-citation.json"}</w:instrText>
      </w:r>
      <w:r w:rsidR="00532721">
        <w:rPr>
          <w:rFonts w:ascii="Arial" w:hAnsi="Arial" w:cs="Arial"/>
        </w:rPr>
        <w:fldChar w:fldCharType="separate"/>
      </w:r>
      <w:r w:rsidR="00532721" w:rsidRPr="00532721">
        <w:rPr>
          <w:rFonts w:ascii="Arial" w:hAnsi="Arial" w:cs="Arial"/>
          <w:noProof/>
        </w:rPr>
        <w:t>(Chung &amp; Pruitt, 2007)</w:t>
      </w:r>
      <w:r w:rsidR="00532721">
        <w:rPr>
          <w:rFonts w:ascii="Arial" w:hAnsi="Arial" w:cs="Arial"/>
        </w:rPr>
        <w:fldChar w:fldCharType="end"/>
      </w:r>
      <w:r w:rsidR="00532721">
        <w:rPr>
          <w:rFonts w:ascii="Arial" w:hAnsi="Arial" w:cs="Arial"/>
        </w:rPr>
        <w:t>.</w:t>
      </w:r>
    </w:p>
    <w:p w:rsidR="00935940" w:rsidRDefault="00BB373D" w:rsidP="00935940">
      <w:pPr>
        <w:spacing w:after="0" w:line="240" w:lineRule="auto"/>
        <w:jc w:val="both"/>
        <w:rPr>
          <w:rFonts w:ascii="Arial" w:hAnsi="Arial" w:cs="Arial"/>
        </w:rPr>
      </w:pPr>
      <m:oMathPara>
        <m:oMath>
          <m:sSup>
            <m:sSupPr>
              <m:ctrlPr>
                <w:rPr>
                  <w:rFonts w:ascii="Cambria Math" w:hAnsi="Cambria Math" w:cs="Arial"/>
                </w:rPr>
              </m:ctrlPr>
            </m:sSupPr>
            <m:e>
              <m:r>
                <m:rPr>
                  <m:sty m:val="p"/>
                </m:rPr>
                <w:rPr>
                  <w:rFonts w:ascii="Cambria Math" w:hAnsi="Cambria Math" w:cs="Arial"/>
                </w:rPr>
                <m:t>Tobin</m:t>
              </m:r>
            </m:e>
            <m:sup>
              <m:r>
                <m:rPr>
                  <m:sty m:val="p"/>
                </m:rPr>
                <w:rPr>
                  <w:rFonts w:ascii="Cambria Math" w:hAnsi="Cambria Math" w:cs="Arial"/>
                </w:rPr>
                <m:t>'</m:t>
              </m:r>
            </m:sup>
          </m:sSup>
          <m:r>
            <m:rPr>
              <m:sty m:val="p"/>
            </m:rPr>
            <w:rPr>
              <w:rFonts w:ascii="Cambria Math" w:hAnsi="Cambria Math" w:cs="Arial"/>
            </w:rPr>
            <m:t>sQ=</m:t>
          </m:r>
          <m:f>
            <m:fPr>
              <m:ctrlPr>
                <w:rPr>
                  <w:rFonts w:ascii="Cambria Math" w:hAnsi="Cambria Math" w:cs="Arial"/>
                </w:rPr>
              </m:ctrlPr>
            </m:fPr>
            <m:num>
              <m:r>
                <m:rPr>
                  <m:sty m:val="p"/>
                </m:rPr>
                <w:rPr>
                  <w:rFonts w:ascii="Cambria Math" w:hAnsi="Cambria Math" w:cs="Arial"/>
                </w:rPr>
                <m:t>MVE+Debt</m:t>
              </m:r>
            </m:num>
            <m:den>
              <m:r>
                <m:rPr>
                  <m:sty m:val="p"/>
                </m:rPr>
                <w:rPr>
                  <w:rFonts w:ascii="Cambria Math" w:hAnsi="Cambria Math" w:cs="Arial"/>
                </w:rPr>
                <m:t>TA</m:t>
              </m:r>
            </m:den>
          </m:f>
        </m:oMath>
      </m:oMathPara>
    </w:p>
    <w:p w:rsidR="00935940" w:rsidRDefault="00935940" w:rsidP="00935940">
      <w:pPr>
        <w:spacing w:after="0" w:line="240" w:lineRule="auto"/>
        <w:jc w:val="both"/>
        <w:rPr>
          <w:rFonts w:ascii="Arial" w:hAnsi="Arial" w:cs="Arial"/>
        </w:rPr>
      </w:pPr>
      <w:r>
        <w:rPr>
          <w:rFonts w:ascii="Arial" w:hAnsi="Arial" w:cs="Arial"/>
        </w:rPr>
        <w:t>Keterangan:</w:t>
      </w:r>
    </w:p>
    <w:p w:rsidR="00935940" w:rsidRDefault="00935940" w:rsidP="00935940">
      <w:pPr>
        <w:tabs>
          <w:tab w:val="left" w:pos="1134"/>
        </w:tabs>
        <w:spacing w:after="0" w:line="240" w:lineRule="auto"/>
        <w:jc w:val="both"/>
        <w:rPr>
          <w:rFonts w:ascii="Arial" w:hAnsi="Arial" w:cs="Arial"/>
        </w:rPr>
      </w:pPr>
      <w:r>
        <w:rPr>
          <w:rFonts w:ascii="Arial" w:hAnsi="Arial" w:cs="Arial"/>
        </w:rPr>
        <w:t xml:space="preserve">Tobin’s Q </w:t>
      </w:r>
      <w:r>
        <w:rPr>
          <w:rFonts w:ascii="Arial" w:hAnsi="Arial" w:cs="Arial"/>
        </w:rPr>
        <w:tab/>
        <w:t>= Nilai Perusahaan</w:t>
      </w:r>
    </w:p>
    <w:p w:rsidR="00935940" w:rsidRDefault="00935940" w:rsidP="00935940">
      <w:pPr>
        <w:tabs>
          <w:tab w:val="left" w:pos="1134"/>
        </w:tabs>
        <w:spacing w:after="0" w:line="240" w:lineRule="auto"/>
        <w:ind w:left="1418" w:hanging="1418"/>
        <w:jc w:val="both"/>
        <w:rPr>
          <w:rFonts w:ascii="Arial" w:hAnsi="Arial" w:cs="Arial"/>
        </w:rPr>
      </w:pPr>
      <w:r>
        <w:rPr>
          <w:rFonts w:ascii="Arial" w:hAnsi="Arial" w:cs="Arial"/>
        </w:rPr>
        <w:t>MVE</w:t>
      </w:r>
      <w:r>
        <w:rPr>
          <w:rFonts w:ascii="Arial" w:hAnsi="Arial" w:cs="Arial"/>
        </w:rPr>
        <w:tab/>
        <w:t>= Market value of equity (closing price x jumlah saham beredar)</w:t>
      </w:r>
    </w:p>
    <w:p w:rsidR="00935940" w:rsidRDefault="00935940" w:rsidP="00935940">
      <w:pPr>
        <w:tabs>
          <w:tab w:val="left" w:pos="1134"/>
        </w:tabs>
        <w:spacing w:after="0" w:line="240" w:lineRule="auto"/>
        <w:ind w:left="1418" w:hanging="1418"/>
        <w:jc w:val="both"/>
        <w:rPr>
          <w:rFonts w:ascii="Arial" w:hAnsi="Arial" w:cs="Arial"/>
        </w:rPr>
      </w:pPr>
      <w:r>
        <w:rPr>
          <w:rFonts w:ascii="Arial" w:hAnsi="Arial" w:cs="Arial"/>
        </w:rPr>
        <w:lastRenderedPageBreak/>
        <w:t>Debt</w:t>
      </w:r>
      <w:r>
        <w:rPr>
          <w:rFonts w:ascii="Arial" w:hAnsi="Arial" w:cs="Arial"/>
        </w:rPr>
        <w:tab/>
        <w:t>=</w:t>
      </w:r>
      <w:r>
        <w:rPr>
          <w:rFonts w:ascii="Arial" w:hAnsi="Arial" w:cs="Arial"/>
        </w:rPr>
        <w:tab/>
        <w:t>Total hutang (kewajiban lancar-aset lancar+hutang jangka panjang).</w:t>
      </w:r>
    </w:p>
    <w:p w:rsidR="00935940" w:rsidRDefault="00935940" w:rsidP="00935940">
      <w:pPr>
        <w:tabs>
          <w:tab w:val="left" w:pos="1134"/>
        </w:tabs>
        <w:spacing w:after="0" w:line="240" w:lineRule="auto"/>
        <w:ind w:left="1418" w:hanging="1418"/>
        <w:jc w:val="both"/>
        <w:rPr>
          <w:rFonts w:ascii="Arial" w:hAnsi="Arial" w:cs="Arial"/>
        </w:rPr>
      </w:pPr>
      <w:r>
        <w:rPr>
          <w:rFonts w:ascii="Arial" w:hAnsi="Arial" w:cs="Arial"/>
        </w:rPr>
        <w:t>TA</w:t>
      </w:r>
      <w:r>
        <w:rPr>
          <w:rFonts w:ascii="Arial" w:hAnsi="Arial" w:cs="Arial"/>
        </w:rPr>
        <w:tab/>
        <w:t>=</w:t>
      </w:r>
      <w:r>
        <w:rPr>
          <w:rFonts w:ascii="Arial" w:hAnsi="Arial" w:cs="Arial"/>
        </w:rPr>
        <w:tab/>
        <w:t>nilai buku dari total aset</w:t>
      </w:r>
    </w:p>
    <w:p w:rsidR="00935940" w:rsidRDefault="00935940" w:rsidP="00935940">
      <w:pPr>
        <w:spacing w:after="0" w:line="240" w:lineRule="auto"/>
        <w:jc w:val="both"/>
        <w:rPr>
          <w:rFonts w:ascii="Arial" w:hAnsi="Arial" w:cs="Arial"/>
        </w:rPr>
      </w:pPr>
    </w:p>
    <w:p w:rsidR="00935940" w:rsidRDefault="00935940" w:rsidP="00935940">
      <w:pPr>
        <w:spacing w:after="0" w:line="240" w:lineRule="auto"/>
        <w:jc w:val="both"/>
        <w:rPr>
          <w:rFonts w:ascii="Arial" w:hAnsi="Arial" w:cs="Arial"/>
        </w:rPr>
      </w:pPr>
      <w:r>
        <w:rPr>
          <w:rFonts w:ascii="Arial" w:hAnsi="Arial" w:cs="Arial"/>
        </w:rPr>
        <w:t>Manajemen laba</w:t>
      </w:r>
    </w:p>
    <w:p w:rsidR="006747DF" w:rsidRDefault="006747DF" w:rsidP="00935940">
      <w:pPr>
        <w:spacing w:after="0" w:line="240" w:lineRule="auto"/>
        <w:jc w:val="both"/>
        <w:rPr>
          <w:rFonts w:ascii="Arial" w:hAnsi="Arial" w:cs="Arial"/>
        </w:rPr>
      </w:pPr>
    </w:p>
    <w:p w:rsidR="00935940" w:rsidRDefault="00935940" w:rsidP="00935940">
      <w:pPr>
        <w:spacing w:after="0" w:line="240" w:lineRule="auto"/>
        <w:jc w:val="both"/>
        <w:rPr>
          <w:rFonts w:ascii="Arial" w:hAnsi="Arial" w:cs="Arial"/>
        </w:rPr>
      </w:pPr>
      <w:r>
        <w:rPr>
          <w:rFonts w:ascii="Arial" w:hAnsi="Arial" w:cs="Arial"/>
        </w:rPr>
        <w:tab/>
        <w:t>Praktik manajemen laba dinilai merugikan pihak investor karena praktik manajemen laba dapat menurunkan kualitas laporan keuangan dan memberikan informasi yang tidak relevan</w:t>
      </w:r>
      <w:r w:rsidR="00532721">
        <w:rPr>
          <w:rFonts w:ascii="Arial" w:hAnsi="Arial" w:cs="Arial"/>
        </w:rPr>
        <w:t xml:space="preserve"> </w:t>
      </w:r>
      <w:r w:rsidR="00532721">
        <w:rPr>
          <w:rFonts w:ascii="Arial" w:hAnsi="Arial" w:cs="Arial"/>
        </w:rPr>
        <w:fldChar w:fldCharType="begin" w:fldLock="1"/>
      </w:r>
      <w:r w:rsidR="00532721">
        <w:rPr>
          <w:rFonts w:ascii="Arial" w:hAnsi="Arial" w:cs="Arial"/>
        </w:rPr>
        <w:instrText>ADDIN CSL_CITATION {"citationItems":[{"id":"ITEM-1","itemData":{"author":[{"dropping-particle":"","family":"Darwis","given":"Herman","non-dropping-particle":"","parse-names":false,"suffix":""}],"container-title":"Jurnal Keuangan dan Perbankan","id":"ITEM-1","issue":"1","issued":{"date-parts":[["2012"]]},"title":"Manajemen Laba terhadap Nilai Perusahaan degan Corporate Governance sebagai PemoderasiNo Title","type":"article-journal","volume":"16"},"uris":["http://www.mendeley.com/documents/?uuid=d1b41dd2-1e2e-4ec2-939c-2f8e3f289bdb"]}],"mendeley":{"formattedCitation":"(Darwis, 2012)","plainTextFormattedCitation":"(Darwis, 2012)","previouslyFormattedCitation":"(Darwis, 2012)"},"properties":{"noteIndex":0},"schema":"https://github.com/citation-style-language/schema/raw/master/csl-citation.json"}</w:instrText>
      </w:r>
      <w:r w:rsidR="00532721">
        <w:rPr>
          <w:rFonts w:ascii="Arial" w:hAnsi="Arial" w:cs="Arial"/>
        </w:rPr>
        <w:fldChar w:fldCharType="separate"/>
      </w:r>
      <w:r w:rsidR="00532721" w:rsidRPr="00532721">
        <w:rPr>
          <w:rFonts w:ascii="Arial" w:hAnsi="Arial" w:cs="Arial"/>
          <w:noProof/>
        </w:rPr>
        <w:t>(Darwis, 2012)</w:t>
      </w:r>
      <w:r w:rsidR="00532721">
        <w:rPr>
          <w:rFonts w:ascii="Arial" w:hAnsi="Arial" w:cs="Arial"/>
        </w:rPr>
        <w:fldChar w:fldCharType="end"/>
      </w:r>
      <w:r w:rsidR="00532721">
        <w:rPr>
          <w:rFonts w:ascii="Arial" w:hAnsi="Arial" w:cs="Arial"/>
        </w:rPr>
        <w:t>.</w:t>
      </w:r>
      <w:r>
        <w:rPr>
          <w:rFonts w:ascii="Arial" w:hAnsi="Arial" w:cs="Arial"/>
        </w:rPr>
        <w:t xml:space="preserve"> </w:t>
      </w:r>
      <w:r w:rsidR="00FD1B8E">
        <w:rPr>
          <w:rFonts w:ascii="Arial" w:hAnsi="Arial" w:cs="Arial"/>
        </w:rPr>
        <w:t xml:space="preserve">Proksi manajemen laba dalam penelitian ini adalah </w:t>
      </w:r>
      <w:r w:rsidR="00FD1B8E">
        <w:rPr>
          <w:rFonts w:ascii="Arial" w:hAnsi="Arial" w:cs="Arial"/>
          <w:i/>
        </w:rPr>
        <w:t xml:space="preserve">discretionnary accruals </w:t>
      </w:r>
      <w:r w:rsidR="00FD1B8E">
        <w:rPr>
          <w:rFonts w:ascii="Arial" w:hAnsi="Arial" w:cs="Arial"/>
        </w:rPr>
        <w:t xml:space="preserve">menggunakan </w:t>
      </w:r>
      <w:r w:rsidR="00FD1B8E">
        <w:rPr>
          <w:rFonts w:ascii="Arial" w:hAnsi="Arial" w:cs="Arial"/>
          <w:i/>
        </w:rPr>
        <w:t>Modified Jones Model.</w:t>
      </w:r>
    </w:p>
    <w:p w:rsidR="00FD1B8E" w:rsidRDefault="00FD1B8E" w:rsidP="00935940">
      <w:pPr>
        <w:spacing w:after="0" w:line="240" w:lineRule="auto"/>
        <w:jc w:val="both"/>
        <w:rPr>
          <w:rFonts w:ascii="Arial" w:hAnsi="Arial" w:cs="Arial"/>
        </w:rPr>
      </w:pPr>
      <w:r>
        <w:rPr>
          <w:rFonts w:ascii="Arial" w:hAnsi="Arial" w:cs="Arial"/>
        </w:rPr>
        <w:t xml:space="preserve">Langkah-langkah untuk menghitung rumus </w:t>
      </w:r>
      <w:r>
        <w:rPr>
          <w:rFonts w:ascii="Arial" w:hAnsi="Arial" w:cs="Arial"/>
          <w:i/>
        </w:rPr>
        <w:t>discretionary accrual modified jones model</w:t>
      </w:r>
      <w:r>
        <w:rPr>
          <w:rFonts w:ascii="Arial" w:hAnsi="Arial" w:cs="Arial"/>
        </w:rPr>
        <w:t xml:space="preserve"> sebagai berikut:</w:t>
      </w:r>
    </w:p>
    <w:p w:rsidR="00FD1B8E" w:rsidRPr="00FD1B8E" w:rsidRDefault="00FD1B8E" w:rsidP="00ED52AD">
      <w:pPr>
        <w:pStyle w:val="ListParagraph"/>
        <w:numPr>
          <w:ilvl w:val="0"/>
          <w:numId w:val="1"/>
        </w:numPr>
        <w:spacing w:after="0" w:line="240" w:lineRule="auto"/>
        <w:ind w:left="284" w:hanging="284"/>
        <w:jc w:val="both"/>
        <w:rPr>
          <w:rFonts w:ascii="Arial" w:hAnsi="Arial" w:cs="Arial"/>
        </w:rPr>
      </w:pPr>
      <w:r w:rsidRPr="00FD1B8E">
        <w:rPr>
          <w:rFonts w:ascii="Arial" w:hAnsi="Arial" w:cs="Arial"/>
        </w:rPr>
        <w:t xml:space="preserve">Mengukur </w:t>
      </w:r>
      <w:r w:rsidRPr="00FD1B8E">
        <w:rPr>
          <w:rFonts w:ascii="Arial" w:hAnsi="Arial" w:cs="Arial"/>
          <w:i/>
        </w:rPr>
        <w:t xml:space="preserve">total accrual </w:t>
      </w:r>
    </w:p>
    <w:p w:rsidR="004702B3" w:rsidRDefault="00BB373D" w:rsidP="004702B3">
      <w:pPr>
        <w:pStyle w:val="ListParagraph"/>
        <w:spacing w:after="0" w:line="240" w:lineRule="auto"/>
        <w:ind w:left="284"/>
        <w:jc w:val="both"/>
        <w:rPr>
          <w:rFonts w:ascii="Arial" w:hAnsi="Arial" w:cs="Arial"/>
        </w:rPr>
      </w:pPr>
      <m:oMath>
        <m:sSub>
          <m:sSubPr>
            <m:ctrlPr>
              <w:rPr>
                <w:rFonts w:ascii="Cambria Math" w:hAnsi="Cambria Math" w:cs="Arial"/>
                <w:i/>
              </w:rPr>
            </m:ctrlPr>
          </m:sSubPr>
          <m:e>
            <m:r>
              <m:rPr>
                <m:sty m:val="p"/>
              </m:rPr>
              <w:rPr>
                <w:rFonts w:ascii="Cambria Math" w:hAnsi="Cambria Math" w:cs="Arial"/>
              </w:rPr>
              <m:t>TA</m:t>
            </m:r>
          </m:e>
          <m:sub>
            <m:r>
              <m:rPr>
                <m:sty m:val="p"/>
              </m:rPr>
              <w:rPr>
                <w:rFonts w:ascii="Cambria Math" w:hAnsi="Cambria Math" w:cs="Arial"/>
              </w:rPr>
              <m:t>i,t</m:t>
            </m:r>
          </m:sub>
        </m:sSub>
        <m:r>
          <w:rPr>
            <w:rFonts w:ascii="Cambria Math" w:hAnsi="Cambria Math" w:cs="Arial"/>
          </w:rPr>
          <m:t>=</m:t>
        </m:r>
        <m:sSub>
          <m:sSubPr>
            <m:ctrlPr>
              <w:rPr>
                <w:rFonts w:ascii="Cambria Math" w:hAnsi="Cambria Math" w:cs="Arial"/>
                <w:i/>
              </w:rPr>
            </m:ctrlPr>
          </m:sSubPr>
          <m:e>
            <m:r>
              <w:rPr>
                <w:rFonts w:ascii="Cambria Math" w:hAnsi="Cambria Math" w:cs="Arial"/>
              </w:rPr>
              <m:t>NI</m:t>
            </m:r>
          </m:e>
          <m:sub>
            <m:r>
              <w:rPr>
                <w:rFonts w:ascii="Cambria Math" w:hAnsi="Cambria Math" w:cs="Arial"/>
              </w:rPr>
              <m:t>i,t</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CFO</m:t>
            </m:r>
          </m:e>
          <m:sub>
            <m:r>
              <w:rPr>
                <w:rFonts w:ascii="Cambria Math" w:hAnsi="Cambria Math" w:cs="Arial"/>
              </w:rPr>
              <m:t>i,t</m:t>
            </m:r>
          </m:sub>
        </m:sSub>
      </m:oMath>
      <w:r w:rsidR="004702B3">
        <w:rPr>
          <w:rFonts w:ascii="Arial" w:hAnsi="Arial" w:cs="Arial"/>
        </w:rPr>
        <w:t>………… (1)</w:t>
      </w:r>
    </w:p>
    <w:p w:rsidR="004702B3" w:rsidRDefault="004702B3" w:rsidP="004702B3">
      <w:pPr>
        <w:pStyle w:val="ListParagraph"/>
        <w:spacing w:after="0" w:line="240" w:lineRule="auto"/>
        <w:ind w:left="284"/>
        <w:jc w:val="both"/>
        <w:rPr>
          <w:rFonts w:ascii="Arial" w:hAnsi="Arial" w:cs="Arial"/>
        </w:rPr>
      </w:pPr>
    </w:p>
    <w:p w:rsidR="004702B3" w:rsidRDefault="004702B3" w:rsidP="004702B3">
      <w:pPr>
        <w:pStyle w:val="ListParagraph"/>
        <w:spacing w:after="0" w:line="240" w:lineRule="auto"/>
        <w:ind w:left="284"/>
        <w:jc w:val="both"/>
        <w:rPr>
          <w:rFonts w:ascii="Arial" w:hAnsi="Arial" w:cs="Arial"/>
        </w:rPr>
      </w:pPr>
      <w:r>
        <w:rPr>
          <w:rFonts w:ascii="Arial" w:hAnsi="Arial" w:cs="Arial"/>
        </w:rPr>
        <w:t>Keterangan :</w:t>
      </w:r>
    </w:p>
    <w:p w:rsidR="004702B3" w:rsidRDefault="004702B3" w:rsidP="004702B3">
      <w:pPr>
        <w:pStyle w:val="ListParagraph"/>
        <w:tabs>
          <w:tab w:val="left" w:pos="1418"/>
          <w:tab w:val="left" w:pos="1701"/>
        </w:tabs>
        <w:spacing w:after="0" w:line="240" w:lineRule="auto"/>
        <w:ind w:left="284"/>
        <w:jc w:val="both"/>
        <w:rPr>
          <w:rFonts w:ascii="Arial" w:hAnsi="Arial" w:cs="Arial"/>
        </w:rPr>
      </w:pPr>
      <w:r>
        <w:rPr>
          <w:rFonts w:ascii="Arial" w:hAnsi="Arial" w:cs="Arial"/>
        </w:rPr>
        <w:t>TAit</w:t>
      </w:r>
      <w:r>
        <w:rPr>
          <w:rFonts w:ascii="Arial" w:hAnsi="Arial" w:cs="Arial"/>
        </w:rPr>
        <w:tab/>
      </w:r>
      <w:r>
        <w:rPr>
          <w:rFonts w:ascii="Arial" w:hAnsi="Arial" w:cs="Arial"/>
        </w:rPr>
        <w:tab/>
        <w:t>=</w:t>
      </w:r>
      <w:r>
        <w:rPr>
          <w:rFonts w:ascii="Arial" w:hAnsi="Arial" w:cs="Arial"/>
        </w:rPr>
        <w:tab/>
      </w:r>
      <w:r>
        <w:rPr>
          <w:rFonts w:ascii="Arial" w:hAnsi="Arial" w:cs="Arial"/>
          <w:i/>
        </w:rPr>
        <w:t xml:space="preserve">Total acrual </w:t>
      </w:r>
      <w:r>
        <w:rPr>
          <w:rFonts w:ascii="Arial" w:hAnsi="Arial" w:cs="Arial"/>
        </w:rPr>
        <w:t>perusahaan i pada periode waktu ke t</w:t>
      </w:r>
    </w:p>
    <w:p w:rsidR="004702B3" w:rsidRDefault="004702B3" w:rsidP="004702B3">
      <w:pPr>
        <w:pStyle w:val="ListParagraph"/>
        <w:tabs>
          <w:tab w:val="left" w:pos="1418"/>
          <w:tab w:val="left" w:pos="1701"/>
        </w:tabs>
        <w:spacing w:after="0" w:line="240" w:lineRule="auto"/>
        <w:ind w:left="284"/>
        <w:jc w:val="both"/>
        <w:rPr>
          <w:rFonts w:ascii="Arial" w:hAnsi="Arial" w:cs="Arial"/>
        </w:rPr>
      </w:pPr>
      <w:r>
        <w:rPr>
          <w:rFonts w:ascii="Arial" w:hAnsi="Arial" w:cs="Arial"/>
        </w:rPr>
        <w:t>NIit</w:t>
      </w:r>
      <w:r>
        <w:rPr>
          <w:rFonts w:ascii="Arial" w:hAnsi="Arial" w:cs="Arial"/>
        </w:rPr>
        <w:tab/>
      </w:r>
      <w:r>
        <w:rPr>
          <w:rFonts w:ascii="Arial" w:hAnsi="Arial" w:cs="Arial"/>
        </w:rPr>
        <w:tab/>
        <w:t>=</w:t>
      </w:r>
      <w:r>
        <w:rPr>
          <w:rFonts w:ascii="Arial" w:hAnsi="Arial" w:cs="Arial"/>
        </w:rPr>
        <w:tab/>
        <w:t>Laba bersih perusahaan i pada periode waktu ke t</w:t>
      </w:r>
    </w:p>
    <w:p w:rsidR="004702B3" w:rsidRPr="004702B3" w:rsidRDefault="004702B3" w:rsidP="004702B3">
      <w:pPr>
        <w:pStyle w:val="ListParagraph"/>
        <w:tabs>
          <w:tab w:val="left" w:pos="1418"/>
          <w:tab w:val="left" w:pos="1701"/>
        </w:tabs>
        <w:spacing w:after="0" w:line="240" w:lineRule="auto"/>
        <w:ind w:left="284"/>
        <w:jc w:val="both"/>
        <w:rPr>
          <w:rFonts w:ascii="Arial" w:hAnsi="Arial" w:cs="Arial"/>
        </w:rPr>
      </w:pPr>
      <w:r>
        <w:rPr>
          <w:rFonts w:ascii="Arial" w:hAnsi="Arial" w:cs="Arial"/>
        </w:rPr>
        <w:t>CFOit</w:t>
      </w:r>
      <w:r>
        <w:rPr>
          <w:rFonts w:ascii="Arial" w:hAnsi="Arial" w:cs="Arial"/>
        </w:rPr>
        <w:tab/>
      </w:r>
      <w:r>
        <w:rPr>
          <w:rFonts w:ascii="Arial" w:hAnsi="Arial" w:cs="Arial"/>
        </w:rPr>
        <w:tab/>
        <w:t>=</w:t>
      </w:r>
      <w:r>
        <w:rPr>
          <w:rFonts w:ascii="Arial" w:hAnsi="Arial" w:cs="Arial"/>
        </w:rPr>
        <w:tab/>
        <w:t>Arus kas operasi perusahaan i pada periode waktu ke t</w:t>
      </w:r>
      <w:r>
        <w:rPr>
          <w:rFonts w:ascii="Arial" w:hAnsi="Arial" w:cs="Arial"/>
        </w:rPr>
        <w:tab/>
      </w:r>
    </w:p>
    <w:p w:rsidR="00FD1B8E" w:rsidRPr="003C3508" w:rsidRDefault="00FD1B8E" w:rsidP="006F1755">
      <w:pPr>
        <w:spacing w:after="0" w:line="240" w:lineRule="auto"/>
        <w:ind w:firstLine="284"/>
        <w:jc w:val="both"/>
        <w:rPr>
          <w:rFonts w:ascii="Arial" w:hAnsi="Arial" w:cs="Arial"/>
        </w:rPr>
      </w:pPr>
    </w:p>
    <w:p w:rsidR="00FD1B8E" w:rsidRDefault="00FD1B8E" w:rsidP="00ED52AD">
      <w:pPr>
        <w:pStyle w:val="ListParagraph"/>
        <w:numPr>
          <w:ilvl w:val="0"/>
          <w:numId w:val="1"/>
        </w:numPr>
        <w:spacing w:after="0" w:line="240" w:lineRule="auto"/>
        <w:ind w:left="284" w:hanging="284"/>
        <w:jc w:val="both"/>
        <w:rPr>
          <w:rFonts w:ascii="Arial" w:hAnsi="Arial" w:cs="Arial"/>
        </w:rPr>
      </w:pPr>
      <w:r w:rsidRPr="00FD1B8E">
        <w:rPr>
          <w:rFonts w:ascii="Arial" w:hAnsi="Arial" w:cs="Arial"/>
        </w:rPr>
        <w:t xml:space="preserve">Menghitung nilai </w:t>
      </w:r>
      <w:r w:rsidRPr="00FD1B8E">
        <w:rPr>
          <w:rFonts w:ascii="Arial" w:hAnsi="Arial" w:cs="Arial"/>
          <w:i/>
        </w:rPr>
        <w:t xml:space="preserve">total accrual </w:t>
      </w:r>
      <w:r w:rsidRPr="00FD1B8E">
        <w:rPr>
          <w:rFonts w:ascii="Arial" w:hAnsi="Arial" w:cs="Arial"/>
        </w:rPr>
        <w:t>yang diestimasi dengan persamaan regresi OLS</w:t>
      </w:r>
    </w:p>
    <w:p w:rsidR="004702B3" w:rsidRDefault="00BB373D" w:rsidP="004702B3">
      <w:pPr>
        <w:pStyle w:val="ListParagraph"/>
        <w:spacing w:after="0" w:line="240" w:lineRule="auto"/>
        <w:ind w:left="284"/>
        <w:jc w:val="both"/>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TA</m:t>
                </m:r>
              </m:e>
              <m:sub>
                <m:r>
                  <w:rPr>
                    <w:rFonts w:ascii="Cambria Math" w:hAnsi="Cambria Math" w:cs="Arial"/>
                  </w:rPr>
                  <m:t>it</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∆Rev</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∆Rec</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den>
            </m:f>
          </m:e>
        </m:d>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PPE</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A</m:t>
                    </m:r>
                  </m:e>
                  <m:sub>
                    <m:r>
                      <w:rPr>
                        <w:rFonts w:ascii="Cambria Math" w:hAnsi="Cambria Math" w:cs="Arial"/>
                      </w:rPr>
                      <m:t>it-1</m:t>
                    </m:r>
                  </m:sub>
                </m:sSub>
              </m:den>
            </m:f>
          </m:e>
        </m:d>
      </m:oMath>
      <w:r w:rsidR="00BB6D9B">
        <w:rPr>
          <w:rFonts w:ascii="Arial" w:hAnsi="Arial" w:cs="Arial"/>
        </w:rPr>
        <w:t>…………………….  (2)</w:t>
      </w:r>
    </w:p>
    <w:p w:rsidR="00BB6D9B" w:rsidRDefault="00BB6D9B" w:rsidP="004702B3">
      <w:pPr>
        <w:pStyle w:val="ListParagraph"/>
        <w:spacing w:after="0" w:line="240" w:lineRule="auto"/>
        <w:ind w:left="284"/>
        <w:jc w:val="both"/>
        <w:rPr>
          <w:rFonts w:ascii="Arial" w:hAnsi="Arial" w:cs="Arial"/>
        </w:rPr>
      </w:pPr>
    </w:p>
    <w:p w:rsidR="00BB6D9B" w:rsidRDefault="00BB6D9B" w:rsidP="004702B3">
      <w:pPr>
        <w:pStyle w:val="ListParagraph"/>
        <w:spacing w:after="0" w:line="240" w:lineRule="auto"/>
        <w:ind w:left="284"/>
        <w:jc w:val="both"/>
        <w:rPr>
          <w:rFonts w:ascii="Arial" w:hAnsi="Arial" w:cs="Arial"/>
        </w:rPr>
      </w:pPr>
      <w:r>
        <w:rPr>
          <w:rFonts w:ascii="Arial" w:hAnsi="Arial" w:cs="Arial"/>
        </w:rPr>
        <w:t>Keterangan :</w:t>
      </w:r>
    </w:p>
    <w:p w:rsidR="00BB6D9B" w:rsidRDefault="00BB6D9B" w:rsidP="004702B3">
      <w:pPr>
        <w:pStyle w:val="ListParagraph"/>
        <w:spacing w:after="0" w:line="240" w:lineRule="auto"/>
        <w:ind w:left="284"/>
        <w:jc w:val="both"/>
        <w:rPr>
          <w:rFonts w:ascii="Arial" w:hAnsi="Arial" w:cs="Arial"/>
        </w:rPr>
      </w:pPr>
      <w:r>
        <w:rPr>
          <w:rFonts w:ascii="Arial" w:hAnsi="Arial" w:cs="Arial"/>
        </w:rPr>
        <w:t>A</w:t>
      </w:r>
      <w:r w:rsidRPr="00BB6D9B">
        <w:rPr>
          <w:rFonts w:ascii="Arial" w:hAnsi="Arial" w:cs="Arial"/>
          <w:vertAlign w:val="subscript"/>
        </w:rPr>
        <w:t>it-1</w:t>
      </w:r>
      <w:r>
        <w:rPr>
          <w:rFonts w:ascii="Arial" w:hAnsi="Arial" w:cs="Arial"/>
          <w:vertAlign w:val="subscript"/>
        </w:rPr>
        <w:tab/>
      </w:r>
      <w:r>
        <w:rPr>
          <w:rFonts w:ascii="Arial" w:hAnsi="Arial" w:cs="Arial"/>
          <w:vertAlign w:val="subscript"/>
        </w:rPr>
        <w:tab/>
      </w:r>
      <w:r>
        <w:rPr>
          <w:rFonts w:ascii="Arial" w:hAnsi="Arial" w:cs="Arial"/>
        </w:rPr>
        <w:t>=</w:t>
      </w:r>
      <w:r>
        <w:rPr>
          <w:rFonts w:ascii="Arial" w:hAnsi="Arial" w:cs="Arial"/>
        </w:rPr>
        <w:tab/>
        <w:t>Total aset perusahaan i pada periode ke t-1</w:t>
      </w:r>
    </w:p>
    <w:p w:rsidR="00BB6D9B" w:rsidRDefault="00BB6D9B" w:rsidP="004702B3">
      <w:pPr>
        <w:pStyle w:val="ListParagraph"/>
        <w:spacing w:after="0" w:line="240" w:lineRule="auto"/>
        <w:ind w:left="284"/>
        <w:jc w:val="both"/>
        <w:rPr>
          <w:rFonts w:ascii="Arial" w:hAnsi="Arial" w:cs="Arial"/>
        </w:rPr>
      </w:pPr>
      <w:r>
        <w:rPr>
          <w:rFonts w:ascii="Arial" w:hAnsi="Arial" w:cs="Arial"/>
        </w:rPr>
        <w:t>∆Rev</w:t>
      </w:r>
      <w:r>
        <w:rPr>
          <w:rFonts w:ascii="Arial" w:hAnsi="Arial" w:cs="Arial"/>
          <w:vertAlign w:val="subscript"/>
        </w:rPr>
        <w:t>t</w:t>
      </w:r>
      <w:r>
        <w:rPr>
          <w:rFonts w:ascii="Arial" w:hAnsi="Arial" w:cs="Arial"/>
        </w:rPr>
        <w:tab/>
        <w:t>=</w:t>
      </w:r>
      <w:r>
        <w:rPr>
          <w:rFonts w:ascii="Arial" w:hAnsi="Arial" w:cs="Arial"/>
        </w:rPr>
        <w:tab/>
        <w:t>Perubahan pendapatan perusahaan i pada periode ke t</w:t>
      </w:r>
    </w:p>
    <w:p w:rsidR="00BB6D9B" w:rsidRDefault="00BB6D9B" w:rsidP="004702B3">
      <w:pPr>
        <w:pStyle w:val="ListParagraph"/>
        <w:spacing w:after="0" w:line="240" w:lineRule="auto"/>
        <w:ind w:left="284"/>
        <w:jc w:val="both"/>
        <w:rPr>
          <w:rFonts w:ascii="Arial" w:hAnsi="Arial" w:cs="Arial"/>
        </w:rPr>
      </w:pPr>
      <w:r>
        <w:rPr>
          <w:rFonts w:ascii="Arial" w:hAnsi="Arial" w:cs="Arial"/>
        </w:rPr>
        <w:t>∆Rec</w:t>
      </w:r>
      <w:r>
        <w:rPr>
          <w:rFonts w:ascii="Arial" w:hAnsi="Arial" w:cs="Arial"/>
          <w:vertAlign w:val="subscript"/>
        </w:rPr>
        <w:t>t</w:t>
      </w:r>
      <w:r>
        <w:rPr>
          <w:rFonts w:ascii="Arial" w:hAnsi="Arial" w:cs="Arial"/>
          <w:vertAlign w:val="subscript"/>
        </w:rPr>
        <w:tab/>
      </w:r>
      <w:r>
        <w:rPr>
          <w:rFonts w:ascii="Arial" w:hAnsi="Arial" w:cs="Arial"/>
        </w:rPr>
        <w:t>=</w:t>
      </w:r>
      <w:r>
        <w:rPr>
          <w:rFonts w:ascii="Arial" w:hAnsi="Arial" w:cs="Arial"/>
        </w:rPr>
        <w:tab/>
        <w:t>Perubahan piutang perusahaan i pada periode ke t</w:t>
      </w:r>
    </w:p>
    <w:p w:rsidR="00BB6D9B" w:rsidRPr="00BB6D9B" w:rsidRDefault="00BB6D9B" w:rsidP="004702B3">
      <w:pPr>
        <w:pStyle w:val="ListParagraph"/>
        <w:spacing w:after="0" w:line="240" w:lineRule="auto"/>
        <w:ind w:left="284"/>
        <w:jc w:val="both"/>
        <w:rPr>
          <w:rFonts w:ascii="Arial" w:hAnsi="Arial" w:cs="Arial"/>
        </w:rPr>
      </w:pPr>
      <w:r>
        <w:rPr>
          <w:rFonts w:ascii="Arial" w:hAnsi="Arial" w:cs="Arial"/>
        </w:rPr>
        <w:t>PPE</w:t>
      </w:r>
      <w:r>
        <w:rPr>
          <w:rFonts w:ascii="Arial" w:hAnsi="Arial" w:cs="Arial"/>
          <w:vertAlign w:val="subscript"/>
        </w:rPr>
        <w:t>t</w:t>
      </w:r>
      <w:r>
        <w:rPr>
          <w:rFonts w:ascii="Arial" w:hAnsi="Arial" w:cs="Arial"/>
        </w:rPr>
        <w:tab/>
        <w:t>=</w:t>
      </w:r>
      <w:r>
        <w:rPr>
          <w:rFonts w:ascii="Arial" w:hAnsi="Arial" w:cs="Arial"/>
        </w:rPr>
        <w:tab/>
        <w:t xml:space="preserve">Aset tetap perusahaan </w:t>
      </w:r>
      <w:r w:rsidR="006747DF">
        <w:rPr>
          <w:rFonts w:ascii="Arial" w:hAnsi="Arial" w:cs="Arial"/>
        </w:rPr>
        <w:t>i</w:t>
      </w:r>
      <w:r>
        <w:rPr>
          <w:rFonts w:ascii="Arial" w:hAnsi="Arial" w:cs="Arial"/>
        </w:rPr>
        <w:t xml:space="preserve"> pada periode ke t</w:t>
      </w:r>
    </w:p>
    <w:p w:rsidR="00FD1B8E" w:rsidRDefault="00FD1B8E" w:rsidP="00FD1B8E">
      <w:pPr>
        <w:pStyle w:val="ListParagraph"/>
        <w:numPr>
          <w:ilvl w:val="0"/>
          <w:numId w:val="1"/>
        </w:numPr>
        <w:spacing w:after="0" w:line="240" w:lineRule="auto"/>
        <w:ind w:left="284" w:hanging="284"/>
        <w:jc w:val="both"/>
        <w:rPr>
          <w:rFonts w:ascii="Arial" w:hAnsi="Arial" w:cs="Arial"/>
        </w:rPr>
      </w:pPr>
      <w:r>
        <w:rPr>
          <w:rFonts w:ascii="Arial" w:hAnsi="Arial" w:cs="Arial"/>
        </w:rPr>
        <w:t xml:space="preserve">Kemudian dari persamaan yang kedua diregresi dan muncul nilai residual. </w:t>
      </w:r>
      <w:r>
        <w:rPr>
          <w:rFonts w:ascii="Arial" w:hAnsi="Arial" w:cs="Arial"/>
          <w:i/>
        </w:rPr>
        <w:t xml:space="preserve">Standard residual value </w:t>
      </w:r>
      <w:r>
        <w:rPr>
          <w:rFonts w:ascii="Arial" w:hAnsi="Arial" w:cs="Arial"/>
        </w:rPr>
        <w:t>tersebut akan diabsolutkan.</w:t>
      </w:r>
    </w:p>
    <w:p w:rsidR="00FD1B8E" w:rsidRDefault="00FD1B8E" w:rsidP="00FD1B8E">
      <w:pPr>
        <w:pStyle w:val="ListParagraph"/>
        <w:numPr>
          <w:ilvl w:val="0"/>
          <w:numId w:val="1"/>
        </w:numPr>
        <w:spacing w:after="0" w:line="240" w:lineRule="auto"/>
        <w:ind w:left="284" w:hanging="284"/>
        <w:jc w:val="both"/>
        <w:rPr>
          <w:rFonts w:ascii="Arial" w:hAnsi="Arial" w:cs="Arial"/>
        </w:rPr>
      </w:pPr>
      <w:r>
        <w:rPr>
          <w:rFonts w:ascii="Arial" w:hAnsi="Arial" w:cs="Arial"/>
        </w:rPr>
        <w:t xml:space="preserve">Hasil </w:t>
      </w:r>
      <w:r>
        <w:rPr>
          <w:rFonts w:ascii="Arial" w:hAnsi="Arial" w:cs="Arial"/>
          <w:i/>
        </w:rPr>
        <w:t xml:space="preserve">standardized residual </w:t>
      </w:r>
      <w:r>
        <w:rPr>
          <w:rFonts w:ascii="Arial" w:hAnsi="Arial" w:cs="Arial"/>
        </w:rPr>
        <w:t>yang telah diabsolutkan digunakan untuk menguji hipotesis</w:t>
      </w:r>
    </w:p>
    <w:p w:rsidR="006747DF" w:rsidRDefault="006747DF" w:rsidP="006747DF">
      <w:pPr>
        <w:spacing w:after="0" w:line="240" w:lineRule="auto"/>
        <w:jc w:val="both"/>
        <w:rPr>
          <w:rFonts w:ascii="Arial" w:hAnsi="Arial" w:cs="Arial"/>
        </w:rPr>
      </w:pPr>
    </w:p>
    <w:p w:rsidR="006747DF" w:rsidRDefault="006747DF" w:rsidP="006747DF">
      <w:pPr>
        <w:spacing w:after="0" w:line="240" w:lineRule="auto"/>
        <w:jc w:val="both"/>
        <w:rPr>
          <w:rFonts w:ascii="Arial" w:hAnsi="Arial" w:cs="Arial"/>
        </w:rPr>
      </w:pPr>
      <w:r>
        <w:rPr>
          <w:rFonts w:ascii="Arial" w:hAnsi="Arial" w:cs="Arial"/>
        </w:rPr>
        <w:t>Populasi dan Sampel penelitian</w:t>
      </w:r>
    </w:p>
    <w:p w:rsidR="006747DF" w:rsidRDefault="006747DF" w:rsidP="006747DF">
      <w:pPr>
        <w:spacing w:after="0" w:line="240" w:lineRule="auto"/>
        <w:jc w:val="both"/>
        <w:rPr>
          <w:rFonts w:ascii="Arial" w:hAnsi="Arial" w:cs="Arial"/>
        </w:rPr>
      </w:pPr>
    </w:p>
    <w:p w:rsidR="006747DF" w:rsidRDefault="006747DF" w:rsidP="006747DF">
      <w:pPr>
        <w:spacing w:after="0" w:line="240" w:lineRule="auto"/>
        <w:jc w:val="both"/>
        <w:rPr>
          <w:rFonts w:ascii="Arial" w:hAnsi="Arial" w:cs="Arial"/>
        </w:rPr>
      </w:pPr>
      <w:r>
        <w:rPr>
          <w:rFonts w:ascii="Arial" w:hAnsi="Arial" w:cs="Arial"/>
        </w:rPr>
        <w:tab/>
        <w:t>Populasi yang digunakan dalam penelitian ini adalah perusahaan pertambangan yang terdaftar di Bursa Efek Indonesia (BEI) periode 2012-2017</w:t>
      </w:r>
      <w:r w:rsidR="00ED52AD">
        <w:rPr>
          <w:rFonts w:ascii="Arial" w:hAnsi="Arial" w:cs="Arial"/>
        </w:rPr>
        <w:t>. Teknik pengambilan sampel adalah sampel jenuh. Sampel jenuh adalah teknik penentuan sampel bila semua anggota populasi digunakan sebagai sampel. Berikut ini merupakan sampel penelitian yang digunakan dalam penelitian ini:</w:t>
      </w: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2B2AAB" w:rsidRDefault="002B2AAB" w:rsidP="006747DF">
      <w:pPr>
        <w:spacing w:after="0" w:line="240" w:lineRule="auto"/>
        <w:jc w:val="both"/>
        <w:rPr>
          <w:rFonts w:ascii="Arial" w:hAnsi="Arial" w:cs="Arial"/>
        </w:rPr>
      </w:pPr>
    </w:p>
    <w:p w:rsidR="00890EBB" w:rsidRDefault="00890EBB" w:rsidP="006747DF">
      <w:pPr>
        <w:spacing w:after="0" w:line="240" w:lineRule="auto"/>
        <w:jc w:val="both"/>
        <w:rPr>
          <w:rFonts w:ascii="Arial" w:hAnsi="Arial" w:cs="Arial"/>
        </w:rPr>
      </w:pPr>
    </w:p>
    <w:p w:rsidR="00ED52AD" w:rsidRDefault="00ED52AD" w:rsidP="00ED52AD">
      <w:pPr>
        <w:spacing w:after="0" w:line="240" w:lineRule="auto"/>
        <w:jc w:val="center"/>
        <w:rPr>
          <w:rFonts w:ascii="Arial" w:hAnsi="Arial" w:cs="Arial"/>
        </w:rPr>
      </w:pPr>
      <w:r>
        <w:rPr>
          <w:rFonts w:ascii="Arial" w:hAnsi="Arial" w:cs="Arial"/>
        </w:rPr>
        <w:lastRenderedPageBreak/>
        <w:t>Tabel 1. Penentuan Sampel</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3135"/>
        <w:gridCol w:w="708"/>
        <w:gridCol w:w="706"/>
        <w:gridCol w:w="706"/>
        <w:gridCol w:w="706"/>
        <w:gridCol w:w="706"/>
        <w:gridCol w:w="708"/>
      </w:tblGrid>
      <w:tr w:rsidR="00ED52AD" w:rsidTr="00890EBB">
        <w:tc>
          <w:tcPr>
            <w:tcW w:w="558" w:type="dxa"/>
            <w:tcBorders>
              <w:top w:val="single" w:sz="4" w:space="0" w:color="auto"/>
              <w:bottom w:val="single" w:sz="4" w:space="0" w:color="auto"/>
            </w:tcBorders>
          </w:tcPr>
          <w:p w:rsidR="00ED52AD" w:rsidRDefault="00ED52AD" w:rsidP="00ED52AD">
            <w:pPr>
              <w:spacing w:after="0" w:line="240" w:lineRule="auto"/>
              <w:rPr>
                <w:rFonts w:ascii="Arial" w:hAnsi="Arial" w:cs="Arial"/>
              </w:rPr>
            </w:pPr>
            <w:r>
              <w:rPr>
                <w:rFonts w:ascii="Arial" w:hAnsi="Arial" w:cs="Arial"/>
              </w:rPr>
              <w:t>No</w:t>
            </w:r>
          </w:p>
        </w:tc>
        <w:tc>
          <w:tcPr>
            <w:tcW w:w="3135"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Keterangan</w:t>
            </w:r>
          </w:p>
        </w:tc>
        <w:tc>
          <w:tcPr>
            <w:tcW w:w="708"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2012</w:t>
            </w:r>
          </w:p>
        </w:tc>
        <w:tc>
          <w:tcPr>
            <w:tcW w:w="706"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2013</w:t>
            </w:r>
          </w:p>
        </w:tc>
        <w:tc>
          <w:tcPr>
            <w:tcW w:w="706"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2014</w:t>
            </w:r>
          </w:p>
        </w:tc>
        <w:tc>
          <w:tcPr>
            <w:tcW w:w="706"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2015</w:t>
            </w:r>
          </w:p>
        </w:tc>
        <w:tc>
          <w:tcPr>
            <w:tcW w:w="706"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2016</w:t>
            </w:r>
          </w:p>
        </w:tc>
        <w:tc>
          <w:tcPr>
            <w:tcW w:w="708"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r>
              <w:rPr>
                <w:rFonts w:ascii="Arial" w:hAnsi="Arial" w:cs="Arial"/>
              </w:rPr>
              <w:t>2017</w:t>
            </w:r>
          </w:p>
        </w:tc>
      </w:tr>
      <w:tr w:rsidR="00ED52AD" w:rsidTr="00890EBB">
        <w:tc>
          <w:tcPr>
            <w:tcW w:w="558" w:type="dxa"/>
            <w:tcBorders>
              <w:top w:val="single" w:sz="4" w:space="0" w:color="auto"/>
              <w:bottom w:val="single" w:sz="4" w:space="0" w:color="auto"/>
            </w:tcBorders>
          </w:tcPr>
          <w:p w:rsidR="00ED52AD" w:rsidRDefault="00ED52AD" w:rsidP="00ED52AD">
            <w:pPr>
              <w:spacing w:after="0" w:line="240" w:lineRule="auto"/>
              <w:rPr>
                <w:rFonts w:ascii="Arial" w:hAnsi="Arial" w:cs="Arial"/>
              </w:rPr>
            </w:pPr>
            <w:r>
              <w:rPr>
                <w:rFonts w:ascii="Arial" w:hAnsi="Arial" w:cs="Arial"/>
              </w:rPr>
              <w:t>1</w:t>
            </w:r>
          </w:p>
        </w:tc>
        <w:tc>
          <w:tcPr>
            <w:tcW w:w="3135" w:type="dxa"/>
            <w:tcBorders>
              <w:top w:val="single" w:sz="4" w:space="0" w:color="auto"/>
              <w:bottom w:val="single" w:sz="4" w:space="0" w:color="auto"/>
            </w:tcBorders>
          </w:tcPr>
          <w:p w:rsidR="00ED52AD" w:rsidRDefault="00ED52AD" w:rsidP="00ED52AD">
            <w:pPr>
              <w:spacing w:after="0" w:line="240" w:lineRule="auto"/>
              <w:rPr>
                <w:rFonts w:ascii="Arial" w:hAnsi="Arial" w:cs="Arial"/>
              </w:rPr>
            </w:pPr>
            <w:r>
              <w:rPr>
                <w:rFonts w:ascii="Arial" w:hAnsi="Arial" w:cs="Arial"/>
              </w:rPr>
              <w:t>Perusahaan pertambangan yang terdaftar di Bursa Efek Indonesia (BEI)</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37</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37</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38</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39</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39</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41</w:t>
            </w:r>
          </w:p>
        </w:tc>
      </w:tr>
      <w:tr w:rsidR="00ED52AD" w:rsidTr="00890EBB">
        <w:tc>
          <w:tcPr>
            <w:tcW w:w="558" w:type="dxa"/>
            <w:tcBorders>
              <w:top w:val="single" w:sz="4" w:space="0" w:color="auto"/>
              <w:bottom w:val="single" w:sz="4" w:space="0" w:color="auto"/>
            </w:tcBorders>
          </w:tcPr>
          <w:p w:rsidR="00ED52AD" w:rsidRDefault="00890EBB" w:rsidP="00890EBB">
            <w:pPr>
              <w:spacing w:after="0" w:line="240" w:lineRule="auto"/>
              <w:rPr>
                <w:rFonts w:ascii="Arial" w:hAnsi="Arial" w:cs="Arial"/>
              </w:rPr>
            </w:pPr>
            <w:r>
              <w:rPr>
                <w:rFonts w:ascii="Arial" w:hAnsi="Arial" w:cs="Arial"/>
              </w:rPr>
              <w:t>2.</w:t>
            </w:r>
          </w:p>
        </w:tc>
        <w:tc>
          <w:tcPr>
            <w:tcW w:w="3135" w:type="dxa"/>
            <w:tcBorders>
              <w:top w:val="single" w:sz="4" w:space="0" w:color="auto"/>
              <w:bottom w:val="single" w:sz="4" w:space="0" w:color="auto"/>
            </w:tcBorders>
          </w:tcPr>
          <w:p w:rsidR="00ED52AD" w:rsidRDefault="00890EBB" w:rsidP="00890EBB">
            <w:pPr>
              <w:spacing w:after="0" w:line="240" w:lineRule="auto"/>
              <w:rPr>
                <w:rFonts w:ascii="Arial" w:hAnsi="Arial" w:cs="Arial"/>
              </w:rPr>
            </w:pPr>
            <w:r>
              <w:rPr>
                <w:rFonts w:ascii="Arial" w:hAnsi="Arial" w:cs="Arial"/>
              </w:rPr>
              <w:t>Perusahaan pertambangan yang mengalami kerugian</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9</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11</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12</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21</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15</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9</w:t>
            </w:r>
          </w:p>
        </w:tc>
      </w:tr>
      <w:tr w:rsidR="00ED52AD" w:rsidTr="00890EBB">
        <w:tc>
          <w:tcPr>
            <w:tcW w:w="558" w:type="dxa"/>
            <w:tcBorders>
              <w:top w:val="single" w:sz="4" w:space="0" w:color="auto"/>
              <w:bottom w:val="single" w:sz="4" w:space="0" w:color="auto"/>
            </w:tcBorders>
          </w:tcPr>
          <w:p w:rsidR="00ED52AD" w:rsidRDefault="00ED52AD" w:rsidP="00ED52AD">
            <w:pPr>
              <w:spacing w:after="0" w:line="240" w:lineRule="auto"/>
              <w:jc w:val="center"/>
              <w:rPr>
                <w:rFonts w:ascii="Arial" w:hAnsi="Arial" w:cs="Arial"/>
              </w:rPr>
            </w:pPr>
          </w:p>
        </w:tc>
        <w:tc>
          <w:tcPr>
            <w:tcW w:w="3135" w:type="dxa"/>
            <w:tcBorders>
              <w:top w:val="single" w:sz="4" w:space="0" w:color="auto"/>
              <w:bottom w:val="single" w:sz="4" w:space="0" w:color="auto"/>
            </w:tcBorders>
          </w:tcPr>
          <w:p w:rsidR="00ED52AD" w:rsidRDefault="00890EBB" w:rsidP="00890EBB">
            <w:pPr>
              <w:spacing w:after="0" w:line="240" w:lineRule="auto"/>
              <w:rPr>
                <w:rFonts w:ascii="Arial" w:hAnsi="Arial" w:cs="Arial"/>
              </w:rPr>
            </w:pPr>
            <w:r>
              <w:rPr>
                <w:rFonts w:ascii="Arial" w:hAnsi="Arial" w:cs="Arial"/>
              </w:rPr>
              <w:t>Total</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28</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26</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26</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18</w:t>
            </w:r>
          </w:p>
        </w:tc>
        <w:tc>
          <w:tcPr>
            <w:tcW w:w="706"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24</w:t>
            </w:r>
          </w:p>
        </w:tc>
        <w:tc>
          <w:tcPr>
            <w:tcW w:w="708" w:type="dxa"/>
            <w:tcBorders>
              <w:top w:val="single" w:sz="4" w:space="0" w:color="auto"/>
              <w:bottom w:val="single" w:sz="4" w:space="0" w:color="auto"/>
            </w:tcBorders>
          </w:tcPr>
          <w:p w:rsidR="00ED52AD" w:rsidRDefault="00890EBB" w:rsidP="00ED52AD">
            <w:pPr>
              <w:spacing w:after="0" w:line="240" w:lineRule="auto"/>
              <w:jc w:val="center"/>
              <w:rPr>
                <w:rFonts w:ascii="Arial" w:hAnsi="Arial" w:cs="Arial"/>
              </w:rPr>
            </w:pPr>
            <w:r>
              <w:rPr>
                <w:rFonts w:ascii="Arial" w:hAnsi="Arial" w:cs="Arial"/>
              </w:rPr>
              <w:t>32</w:t>
            </w:r>
          </w:p>
        </w:tc>
      </w:tr>
    </w:tbl>
    <w:p w:rsidR="00ED52AD" w:rsidRDefault="00232E68" w:rsidP="00890EBB">
      <w:pPr>
        <w:spacing w:after="0" w:line="240" w:lineRule="auto"/>
        <w:rPr>
          <w:rFonts w:ascii="Arial" w:hAnsi="Arial" w:cs="Arial"/>
        </w:rPr>
      </w:pPr>
      <w:r>
        <w:rPr>
          <w:rFonts w:ascii="Arial" w:hAnsi="Arial" w:cs="Arial"/>
        </w:rPr>
        <w:t>Sumber : data diolah (2019</w:t>
      </w:r>
      <w:r w:rsidR="00890EBB">
        <w:rPr>
          <w:rFonts w:ascii="Arial" w:hAnsi="Arial" w:cs="Arial"/>
        </w:rPr>
        <w:t>)</w:t>
      </w:r>
    </w:p>
    <w:p w:rsidR="00ED52AD" w:rsidRPr="006747DF" w:rsidRDefault="00ED52AD" w:rsidP="006747DF">
      <w:pPr>
        <w:spacing w:after="0" w:line="240" w:lineRule="auto"/>
        <w:jc w:val="both"/>
        <w:rPr>
          <w:rFonts w:ascii="Arial" w:hAnsi="Arial" w:cs="Arial"/>
        </w:rPr>
      </w:pPr>
    </w:p>
    <w:p w:rsidR="00FD1B8E" w:rsidRDefault="00890EBB" w:rsidP="00890EBB">
      <w:pPr>
        <w:spacing w:after="0" w:line="240" w:lineRule="auto"/>
        <w:jc w:val="both"/>
        <w:rPr>
          <w:rFonts w:ascii="Arial" w:hAnsi="Arial" w:cs="Arial"/>
        </w:rPr>
      </w:pPr>
      <w:r>
        <w:rPr>
          <w:rFonts w:ascii="Arial" w:hAnsi="Arial" w:cs="Arial"/>
        </w:rPr>
        <w:t>Teknik Analisis Data</w:t>
      </w:r>
    </w:p>
    <w:p w:rsidR="00890EBB" w:rsidRDefault="00890EBB" w:rsidP="00890EBB">
      <w:pPr>
        <w:spacing w:after="0" w:line="240" w:lineRule="auto"/>
        <w:jc w:val="both"/>
        <w:rPr>
          <w:rFonts w:ascii="Arial" w:hAnsi="Arial" w:cs="Arial"/>
        </w:rPr>
      </w:pPr>
    </w:p>
    <w:p w:rsidR="009A6744" w:rsidRPr="00890EBB" w:rsidRDefault="00890EBB" w:rsidP="00890EBB">
      <w:pPr>
        <w:spacing w:after="0" w:line="240" w:lineRule="auto"/>
        <w:jc w:val="both"/>
        <w:rPr>
          <w:rFonts w:ascii="Arial" w:hAnsi="Arial" w:cs="Arial"/>
        </w:rPr>
      </w:pPr>
      <w:r>
        <w:rPr>
          <w:rFonts w:ascii="Arial" w:hAnsi="Arial" w:cs="Arial"/>
        </w:rPr>
        <w:tab/>
        <w:t xml:space="preserve">Teknik analisis data yang digunakan dalam penelitian ini adalah regresi linier. Sebelum dilakukan pengujian hipotesis maka dilakukan analisis statistik deskriptif dan uji multikolonieritas. </w:t>
      </w:r>
    </w:p>
    <w:p w:rsidR="009A6744" w:rsidRDefault="009A6744" w:rsidP="009A6744">
      <w:pPr>
        <w:spacing w:before="120" w:after="0" w:line="240" w:lineRule="auto"/>
        <w:jc w:val="both"/>
        <w:rPr>
          <w:rFonts w:ascii="Arial" w:hAnsi="Arial" w:cs="Arial"/>
          <w:b/>
          <w:bCs/>
        </w:rPr>
      </w:pPr>
      <w:r w:rsidRPr="005F1AF4">
        <w:rPr>
          <w:rFonts w:ascii="Arial" w:hAnsi="Arial" w:cs="Arial"/>
          <w:b/>
          <w:bCs/>
        </w:rPr>
        <w:t>HASIL DAN PEMBAHASAN</w:t>
      </w:r>
    </w:p>
    <w:p w:rsidR="00890EBB" w:rsidRDefault="00890EBB" w:rsidP="009A6744">
      <w:pPr>
        <w:spacing w:before="120" w:after="0" w:line="240" w:lineRule="auto"/>
        <w:jc w:val="both"/>
        <w:rPr>
          <w:rFonts w:ascii="Arial" w:hAnsi="Arial" w:cs="Arial"/>
          <w:bCs/>
        </w:rPr>
      </w:pPr>
      <w:r>
        <w:rPr>
          <w:rFonts w:ascii="Arial" w:hAnsi="Arial" w:cs="Arial"/>
          <w:bCs/>
        </w:rPr>
        <w:t>Analisis Statistik Deskriptif</w:t>
      </w:r>
    </w:p>
    <w:p w:rsidR="00890EBB" w:rsidRDefault="000B676E" w:rsidP="009A6744">
      <w:pPr>
        <w:spacing w:before="120" w:after="0" w:line="240" w:lineRule="auto"/>
        <w:jc w:val="both"/>
        <w:rPr>
          <w:rFonts w:ascii="Arial" w:hAnsi="Arial" w:cs="Arial"/>
          <w:bCs/>
        </w:rPr>
      </w:pPr>
      <w:r>
        <w:rPr>
          <w:rFonts w:ascii="Arial" w:hAnsi="Arial" w:cs="Arial"/>
          <w:bCs/>
        </w:rPr>
        <w:t xml:space="preserve">Analisis statistik deskriptif bertujuan untuk mengetahui </w:t>
      </w:r>
      <w:r w:rsidR="002C6562">
        <w:rPr>
          <w:rFonts w:ascii="Arial" w:hAnsi="Arial" w:cs="Arial"/>
          <w:bCs/>
        </w:rPr>
        <w:t>nilai rata-rata (mean), maksimum, minimum dan standar deviasi dari masing-masing variabel. Statistik deskriptif disajikan pada Tabel 2 berikut</w:t>
      </w:r>
    </w:p>
    <w:p w:rsidR="002C6562" w:rsidRDefault="002C6562" w:rsidP="002C6562">
      <w:pPr>
        <w:spacing w:before="120" w:after="0" w:line="240" w:lineRule="auto"/>
        <w:jc w:val="center"/>
        <w:rPr>
          <w:rFonts w:ascii="Arial" w:hAnsi="Arial" w:cs="Arial"/>
          <w:bCs/>
        </w:rPr>
      </w:pPr>
      <w:r>
        <w:rPr>
          <w:rFonts w:ascii="Arial" w:hAnsi="Arial" w:cs="Arial"/>
          <w:bCs/>
        </w:rPr>
        <w:t>Tabel 2. Analisis Statitistik Deskriptif</w:t>
      </w:r>
    </w:p>
    <w:tbl>
      <w:tblPr>
        <w:tblStyle w:val="TableGrid"/>
        <w:tblW w:w="7508" w:type="dxa"/>
        <w:tblLook w:val="04A0" w:firstRow="1" w:lastRow="0" w:firstColumn="1" w:lastColumn="0" w:noHBand="0" w:noVBand="1"/>
      </w:tblPr>
      <w:tblGrid>
        <w:gridCol w:w="2081"/>
        <w:gridCol w:w="701"/>
        <w:gridCol w:w="1109"/>
        <w:gridCol w:w="1318"/>
        <w:gridCol w:w="882"/>
        <w:gridCol w:w="1417"/>
      </w:tblGrid>
      <w:tr w:rsidR="002C6562" w:rsidTr="002C6562">
        <w:tc>
          <w:tcPr>
            <w:tcW w:w="2081" w:type="dxa"/>
          </w:tcPr>
          <w:p w:rsidR="002C6562" w:rsidRDefault="002C6562" w:rsidP="002C6562">
            <w:pPr>
              <w:spacing w:before="120" w:after="0" w:line="240" w:lineRule="auto"/>
              <w:jc w:val="center"/>
              <w:rPr>
                <w:rFonts w:ascii="Arial" w:hAnsi="Arial" w:cs="Arial"/>
                <w:bCs/>
              </w:rPr>
            </w:pPr>
            <w:r>
              <w:rPr>
                <w:rFonts w:ascii="Arial" w:hAnsi="Arial" w:cs="Arial"/>
                <w:bCs/>
              </w:rPr>
              <w:t>Variabel</w:t>
            </w:r>
          </w:p>
        </w:tc>
        <w:tc>
          <w:tcPr>
            <w:tcW w:w="701" w:type="dxa"/>
          </w:tcPr>
          <w:p w:rsidR="002C6562" w:rsidRDefault="002C6562" w:rsidP="002C6562">
            <w:pPr>
              <w:spacing w:before="120" w:after="0" w:line="240" w:lineRule="auto"/>
              <w:jc w:val="center"/>
              <w:rPr>
                <w:rFonts w:ascii="Arial" w:hAnsi="Arial" w:cs="Arial"/>
                <w:bCs/>
              </w:rPr>
            </w:pPr>
            <w:r>
              <w:rPr>
                <w:rFonts w:ascii="Arial" w:hAnsi="Arial" w:cs="Arial"/>
                <w:bCs/>
              </w:rPr>
              <w:t>N</w:t>
            </w:r>
          </w:p>
        </w:tc>
        <w:tc>
          <w:tcPr>
            <w:tcW w:w="1109" w:type="dxa"/>
          </w:tcPr>
          <w:p w:rsidR="002C6562" w:rsidRDefault="002C6562" w:rsidP="002C6562">
            <w:pPr>
              <w:spacing w:before="120" w:after="0" w:line="240" w:lineRule="auto"/>
              <w:jc w:val="center"/>
              <w:rPr>
                <w:rFonts w:ascii="Arial" w:hAnsi="Arial" w:cs="Arial"/>
                <w:bCs/>
              </w:rPr>
            </w:pPr>
            <w:r>
              <w:rPr>
                <w:rFonts w:ascii="Arial" w:hAnsi="Arial" w:cs="Arial"/>
                <w:bCs/>
              </w:rPr>
              <w:t>Minimum</w:t>
            </w:r>
          </w:p>
        </w:tc>
        <w:tc>
          <w:tcPr>
            <w:tcW w:w="1318" w:type="dxa"/>
          </w:tcPr>
          <w:p w:rsidR="002C6562" w:rsidRDefault="002C6562" w:rsidP="002C6562">
            <w:pPr>
              <w:spacing w:before="120" w:after="0" w:line="240" w:lineRule="auto"/>
              <w:jc w:val="center"/>
              <w:rPr>
                <w:rFonts w:ascii="Arial" w:hAnsi="Arial" w:cs="Arial"/>
                <w:bCs/>
              </w:rPr>
            </w:pPr>
            <w:r>
              <w:rPr>
                <w:rFonts w:ascii="Arial" w:hAnsi="Arial" w:cs="Arial"/>
                <w:bCs/>
              </w:rPr>
              <w:t>Maksimum</w:t>
            </w:r>
          </w:p>
        </w:tc>
        <w:tc>
          <w:tcPr>
            <w:tcW w:w="882" w:type="dxa"/>
          </w:tcPr>
          <w:p w:rsidR="002C6562" w:rsidRDefault="002C6562" w:rsidP="002C6562">
            <w:pPr>
              <w:spacing w:before="120" w:after="0" w:line="240" w:lineRule="auto"/>
              <w:jc w:val="center"/>
              <w:rPr>
                <w:rFonts w:ascii="Arial" w:hAnsi="Arial" w:cs="Arial"/>
                <w:bCs/>
              </w:rPr>
            </w:pPr>
            <w:r>
              <w:rPr>
                <w:rFonts w:ascii="Arial" w:hAnsi="Arial" w:cs="Arial"/>
                <w:bCs/>
              </w:rPr>
              <w:t>Mean</w:t>
            </w:r>
          </w:p>
        </w:tc>
        <w:tc>
          <w:tcPr>
            <w:tcW w:w="1417" w:type="dxa"/>
          </w:tcPr>
          <w:p w:rsidR="002C6562" w:rsidRDefault="002C6562" w:rsidP="002C6562">
            <w:pPr>
              <w:spacing w:before="120" w:after="0" w:line="240" w:lineRule="auto"/>
              <w:jc w:val="center"/>
              <w:rPr>
                <w:rFonts w:ascii="Arial" w:hAnsi="Arial" w:cs="Arial"/>
                <w:bCs/>
              </w:rPr>
            </w:pPr>
            <w:r>
              <w:rPr>
                <w:rFonts w:ascii="Arial" w:hAnsi="Arial" w:cs="Arial"/>
                <w:bCs/>
              </w:rPr>
              <w:t>Std. Deviasi</w:t>
            </w:r>
          </w:p>
        </w:tc>
      </w:tr>
      <w:tr w:rsidR="002C6562" w:rsidTr="002C6562">
        <w:tc>
          <w:tcPr>
            <w:tcW w:w="2081" w:type="dxa"/>
          </w:tcPr>
          <w:p w:rsidR="002C6562" w:rsidRDefault="002C6562" w:rsidP="002C6562">
            <w:pPr>
              <w:spacing w:before="120" w:after="0" w:line="240" w:lineRule="auto"/>
              <w:jc w:val="center"/>
              <w:rPr>
                <w:rFonts w:ascii="Arial" w:hAnsi="Arial" w:cs="Arial"/>
                <w:bCs/>
              </w:rPr>
            </w:pPr>
            <w:r>
              <w:rPr>
                <w:rFonts w:ascii="Arial" w:hAnsi="Arial" w:cs="Arial"/>
                <w:bCs/>
              </w:rPr>
              <w:t>Tobin’s Q</w:t>
            </w:r>
          </w:p>
        </w:tc>
        <w:tc>
          <w:tcPr>
            <w:tcW w:w="701" w:type="dxa"/>
          </w:tcPr>
          <w:p w:rsidR="002C6562" w:rsidRDefault="002C6562" w:rsidP="002C6562">
            <w:pPr>
              <w:spacing w:before="120" w:after="0" w:line="240" w:lineRule="auto"/>
              <w:jc w:val="center"/>
              <w:rPr>
                <w:rFonts w:ascii="Arial" w:hAnsi="Arial" w:cs="Arial"/>
                <w:bCs/>
              </w:rPr>
            </w:pPr>
            <w:r>
              <w:rPr>
                <w:rFonts w:ascii="Arial" w:hAnsi="Arial" w:cs="Arial"/>
                <w:bCs/>
              </w:rPr>
              <w:t>154</w:t>
            </w:r>
          </w:p>
        </w:tc>
        <w:tc>
          <w:tcPr>
            <w:tcW w:w="1109" w:type="dxa"/>
          </w:tcPr>
          <w:p w:rsidR="002C6562" w:rsidRDefault="002C6562" w:rsidP="002C6562">
            <w:pPr>
              <w:spacing w:before="120" w:after="0" w:line="240" w:lineRule="auto"/>
              <w:jc w:val="center"/>
              <w:rPr>
                <w:rFonts w:ascii="Arial" w:hAnsi="Arial" w:cs="Arial"/>
                <w:bCs/>
              </w:rPr>
            </w:pPr>
            <w:r>
              <w:rPr>
                <w:rFonts w:ascii="Arial" w:hAnsi="Arial" w:cs="Arial"/>
                <w:bCs/>
              </w:rPr>
              <w:t>0.02</w:t>
            </w:r>
          </w:p>
        </w:tc>
        <w:tc>
          <w:tcPr>
            <w:tcW w:w="1318" w:type="dxa"/>
          </w:tcPr>
          <w:p w:rsidR="002C6562" w:rsidRDefault="002C6562" w:rsidP="002C6562">
            <w:pPr>
              <w:spacing w:before="120" w:after="0" w:line="240" w:lineRule="auto"/>
              <w:jc w:val="center"/>
              <w:rPr>
                <w:rFonts w:ascii="Arial" w:hAnsi="Arial" w:cs="Arial"/>
                <w:bCs/>
              </w:rPr>
            </w:pPr>
            <w:r>
              <w:rPr>
                <w:rFonts w:ascii="Arial" w:hAnsi="Arial" w:cs="Arial"/>
                <w:bCs/>
              </w:rPr>
              <w:t>8.44</w:t>
            </w:r>
          </w:p>
        </w:tc>
        <w:tc>
          <w:tcPr>
            <w:tcW w:w="882" w:type="dxa"/>
          </w:tcPr>
          <w:p w:rsidR="002C6562" w:rsidRDefault="002C6562" w:rsidP="002C6562">
            <w:pPr>
              <w:spacing w:before="120" w:after="0" w:line="240" w:lineRule="auto"/>
              <w:jc w:val="center"/>
              <w:rPr>
                <w:rFonts w:ascii="Arial" w:hAnsi="Arial" w:cs="Arial"/>
                <w:bCs/>
              </w:rPr>
            </w:pPr>
            <w:r>
              <w:rPr>
                <w:rFonts w:ascii="Arial" w:hAnsi="Arial" w:cs="Arial"/>
                <w:bCs/>
              </w:rPr>
              <w:t>1.16</w:t>
            </w:r>
          </w:p>
        </w:tc>
        <w:tc>
          <w:tcPr>
            <w:tcW w:w="1417" w:type="dxa"/>
          </w:tcPr>
          <w:p w:rsidR="002C6562" w:rsidRDefault="002C6562" w:rsidP="002C6562">
            <w:pPr>
              <w:spacing w:before="120" w:after="0" w:line="240" w:lineRule="auto"/>
              <w:jc w:val="center"/>
              <w:rPr>
                <w:rFonts w:ascii="Arial" w:hAnsi="Arial" w:cs="Arial"/>
                <w:bCs/>
              </w:rPr>
            </w:pPr>
            <w:r>
              <w:rPr>
                <w:rFonts w:ascii="Arial" w:hAnsi="Arial" w:cs="Arial"/>
                <w:bCs/>
              </w:rPr>
              <w:t>1.26</w:t>
            </w:r>
          </w:p>
        </w:tc>
      </w:tr>
      <w:tr w:rsidR="002C6562" w:rsidTr="002C6562">
        <w:tc>
          <w:tcPr>
            <w:tcW w:w="2081" w:type="dxa"/>
          </w:tcPr>
          <w:p w:rsidR="002C6562" w:rsidRDefault="002C6562" w:rsidP="002C6562">
            <w:pPr>
              <w:spacing w:before="120" w:after="0" w:line="240" w:lineRule="auto"/>
              <w:jc w:val="center"/>
              <w:rPr>
                <w:rFonts w:ascii="Arial" w:hAnsi="Arial" w:cs="Arial"/>
                <w:bCs/>
              </w:rPr>
            </w:pPr>
            <w:r>
              <w:rPr>
                <w:rFonts w:ascii="Arial" w:hAnsi="Arial" w:cs="Arial"/>
                <w:bCs/>
              </w:rPr>
              <w:t>Manajemen Laba</w:t>
            </w:r>
          </w:p>
        </w:tc>
        <w:tc>
          <w:tcPr>
            <w:tcW w:w="701" w:type="dxa"/>
          </w:tcPr>
          <w:p w:rsidR="002C6562" w:rsidRDefault="002C6562" w:rsidP="002C6562">
            <w:pPr>
              <w:spacing w:before="120" w:after="0" w:line="240" w:lineRule="auto"/>
              <w:jc w:val="center"/>
              <w:rPr>
                <w:rFonts w:ascii="Arial" w:hAnsi="Arial" w:cs="Arial"/>
                <w:bCs/>
              </w:rPr>
            </w:pPr>
            <w:r>
              <w:rPr>
                <w:rFonts w:ascii="Arial" w:hAnsi="Arial" w:cs="Arial"/>
                <w:bCs/>
              </w:rPr>
              <w:t>154</w:t>
            </w:r>
          </w:p>
        </w:tc>
        <w:tc>
          <w:tcPr>
            <w:tcW w:w="1109" w:type="dxa"/>
          </w:tcPr>
          <w:p w:rsidR="002C6562" w:rsidRDefault="002C6562" w:rsidP="002C6562">
            <w:pPr>
              <w:spacing w:before="120" w:after="0" w:line="240" w:lineRule="auto"/>
              <w:jc w:val="center"/>
              <w:rPr>
                <w:rFonts w:ascii="Arial" w:hAnsi="Arial" w:cs="Arial"/>
                <w:bCs/>
              </w:rPr>
            </w:pPr>
            <w:r>
              <w:rPr>
                <w:rFonts w:ascii="Arial" w:hAnsi="Arial" w:cs="Arial"/>
                <w:bCs/>
              </w:rPr>
              <w:t>0.00</w:t>
            </w:r>
          </w:p>
        </w:tc>
        <w:tc>
          <w:tcPr>
            <w:tcW w:w="1318" w:type="dxa"/>
          </w:tcPr>
          <w:p w:rsidR="002C6562" w:rsidRDefault="002C6562" w:rsidP="002C6562">
            <w:pPr>
              <w:spacing w:before="120" w:after="0" w:line="240" w:lineRule="auto"/>
              <w:jc w:val="center"/>
              <w:rPr>
                <w:rFonts w:ascii="Arial" w:hAnsi="Arial" w:cs="Arial"/>
                <w:bCs/>
              </w:rPr>
            </w:pPr>
            <w:r>
              <w:rPr>
                <w:rFonts w:ascii="Arial" w:hAnsi="Arial" w:cs="Arial"/>
                <w:bCs/>
              </w:rPr>
              <w:t>4.76</w:t>
            </w:r>
          </w:p>
        </w:tc>
        <w:tc>
          <w:tcPr>
            <w:tcW w:w="882" w:type="dxa"/>
          </w:tcPr>
          <w:p w:rsidR="002C6562" w:rsidRDefault="002C6562" w:rsidP="002C6562">
            <w:pPr>
              <w:spacing w:before="120" w:after="0" w:line="240" w:lineRule="auto"/>
              <w:jc w:val="center"/>
              <w:rPr>
                <w:rFonts w:ascii="Arial" w:hAnsi="Arial" w:cs="Arial"/>
                <w:bCs/>
              </w:rPr>
            </w:pPr>
            <w:r>
              <w:rPr>
                <w:rFonts w:ascii="Arial" w:hAnsi="Arial" w:cs="Arial"/>
                <w:bCs/>
              </w:rPr>
              <w:t>0.68</w:t>
            </w:r>
          </w:p>
        </w:tc>
        <w:tc>
          <w:tcPr>
            <w:tcW w:w="1417" w:type="dxa"/>
          </w:tcPr>
          <w:p w:rsidR="002C6562" w:rsidRDefault="002C6562" w:rsidP="002C6562">
            <w:pPr>
              <w:spacing w:before="120" w:after="0" w:line="240" w:lineRule="auto"/>
              <w:jc w:val="center"/>
              <w:rPr>
                <w:rFonts w:ascii="Arial" w:hAnsi="Arial" w:cs="Arial"/>
                <w:bCs/>
              </w:rPr>
            </w:pPr>
            <w:r>
              <w:rPr>
                <w:rFonts w:ascii="Arial" w:hAnsi="Arial" w:cs="Arial"/>
                <w:bCs/>
              </w:rPr>
              <w:t>0.72</w:t>
            </w:r>
          </w:p>
        </w:tc>
      </w:tr>
    </w:tbl>
    <w:p w:rsidR="002C6562" w:rsidRDefault="002C6562" w:rsidP="002C6562">
      <w:pPr>
        <w:spacing w:before="120" w:after="0" w:line="240" w:lineRule="auto"/>
        <w:rPr>
          <w:rFonts w:ascii="Arial" w:hAnsi="Arial" w:cs="Arial"/>
          <w:bCs/>
        </w:rPr>
      </w:pPr>
      <w:r>
        <w:rPr>
          <w:rFonts w:ascii="Arial" w:hAnsi="Arial" w:cs="Arial"/>
          <w:bCs/>
        </w:rPr>
        <w:t>Sumber</w:t>
      </w:r>
      <w:r w:rsidR="00232E68">
        <w:rPr>
          <w:rFonts w:ascii="Arial" w:hAnsi="Arial" w:cs="Arial"/>
          <w:bCs/>
        </w:rPr>
        <w:t xml:space="preserve"> : data diolah (2019</w:t>
      </w:r>
      <w:r>
        <w:rPr>
          <w:rFonts w:ascii="Arial" w:hAnsi="Arial" w:cs="Arial"/>
          <w:bCs/>
        </w:rPr>
        <w:t>)</w:t>
      </w:r>
    </w:p>
    <w:p w:rsidR="002C6562" w:rsidRDefault="002C6562" w:rsidP="00202656">
      <w:pPr>
        <w:spacing w:before="120" w:after="0" w:line="240" w:lineRule="auto"/>
        <w:ind w:firstLine="720"/>
        <w:jc w:val="both"/>
        <w:rPr>
          <w:rFonts w:ascii="Arial" w:hAnsi="Arial" w:cs="Arial"/>
          <w:bCs/>
        </w:rPr>
      </w:pPr>
      <w:r>
        <w:rPr>
          <w:rFonts w:ascii="Arial" w:hAnsi="Arial" w:cs="Arial"/>
          <w:bCs/>
        </w:rPr>
        <w:t>Berdasarkan Tabel 2 menunjukkan nilai rata-rata Tobin’s Q diproksikan sebagai variabel nilai perusahaan sebesar 1.16. nilai maksimum sebesar  8.44 yang dimiliki oleh PT Golden Eagle Energy Tbk (SMMT) pada tahun 2013. Nilai minimum sebesar 0.02 yang dimiliki oleh PT ATPK  Resources Tbk  (ATPK) pada tahun 2013.</w:t>
      </w:r>
    </w:p>
    <w:p w:rsidR="002C6562" w:rsidRDefault="002C6562" w:rsidP="00202656">
      <w:pPr>
        <w:spacing w:before="120" w:after="0" w:line="240" w:lineRule="auto"/>
        <w:ind w:firstLine="720"/>
        <w:jc w:val="both"/>
        <w:rPr>
          <w:rFonts w:ascii="Arial" w:hAnsi="Arial" w:cs="Arial"/>
          <w:bCs/>
        </w:rPr>
      </w:pPr>
      <w:r>
        <w:rPr>
          <w:rFonts w:ascii="Arial" w:hAnsi="Arial" w:cs="Arial"/>
          <w:bCs/>
        </w:rPr>
        <w:t>Nilai rata-rata variabel manajemen laba sebesar 0.68. nilai maksimum sebesar 4.76 dimiliki oleh PT Garda Tujuh Buana Tbk (GTBO) pada tahun 2012. Nilai minimum sebesar 0.00 yang dimiliki oleh PT Vale Indonesia Tbk (INCO) pada tahun 2016</w:t>
      </w:r>
    </w:p>
    <w:p w:rsidR="00202656" w:rsidRDefault="00202656" w:rsidP="00202656">
      <w:pPr>
        <w:spacing w:before="120" w:after="0" w:line="240" w:lineRule="auto"/>
        <w:jc w:val="both"/>
        <w:rPr>
          <w:rFonts w:ascii="Arial" w:hAnsi="Arial" w:cs="Arial"/>
          <w:bCs/>
        </w:rPr>
      </w:pPr>
      <w:r>
        <w:rPr>
          <w:rFonts w:ascii="Arial" w:hAnsi="Arial" w:cs="Arial"/>
          <w:bCs/>
        </w:rPr>
        <w:t>Uji Multikolonieritas</w:t>
      </w:r>
    </w:p>
    <w:p w:rsidR="00202656" w:rsidRDefault="00202656" w:rsidP="00202656">
      <w:pPr>
        <w:spacing w:before="120" w:after="0" w:line="240" w:lineRule="auto"/>
        <w:jc w:val="both"/>
        <w:rPr>
          <w:rFonts w:ascii="Arial" w:hAnsi="Arial" w:cs="Arial"/>
          <w:bCs/>
        </w:rPr>
      </w:pPr>
      <w:r>
        <w:rPr>
          <w:rFonts w:ascii="Arial" w:hAnsi="Arial" w:cs="Arial"/>
          <w:bCs/>
        </w:rPr>
        <w:t>Uji ini digunakan untuk mengetahui ada tidaknya hubungan linear antara variabel independen dalam model regresi. Hasil uji multikolinearitas dapat disajikan pada Tabel 3 berikut:</w:t>
      </w:r>
    </w:p>
    <w:p w:rsidR="00202656" w:rsidRDefault="00202656" w:rsidP="00202656">
      <w:pPr>
        <w:spacing w:before="120" w:after="0" w:line="240" w:lineRule="auto"/>
        <w:jc w:val="center"/>
        <w:rPr>
          <w:rFonts w:ascii="Arial" w:hAnsi="Arial" w:cs="Arial"/>
          <w:bCs/>
        </w:rPr>
      </w:pPr>
      <w:r>
        <w:rPr>
          <w:rFonts w:ascii="Arial" w:hAnsi="Arial" w:cs="Arial"/>
          <w:bCs/>
        </w:rPr>
        <w:t>Tabel 3. Pengujian Multikolonieritas</w: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195"/>
        <w:gridCol w:w="884"/>
        <w:gridCol w:w="3874"/>
      </w:tblGrid>
      <w:tr w:rsidR="00202656" w:rsidTr="00202656">
        <w:tc>
          <w:tcPr>
            <w:tcW w:w="1980"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Variabel</w:t>
            </w:r>
          </w:p>
        </w:tc>
        <w:tc>
          <w:tcPr>
            <w:tcW w:w="1195"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Tolerance</w:t>
            </w:r>
          </w:p>
        </w:tc>
        <w:tc>
          <w:tcPr>
            <w:tcW w:w="884"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VIF</w:t>
            </w:r>
          </w:p>
        </w:tc>
        <w:tc>
          <w:tcPr>
            <w:tcW w:w="3874"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Keterangan</w:t>
            </w:r>
          </w:p>
        </w:tc>
      </w:tr>
      <w:tr w:rsidR="00202656" w:rsidTr="00202656">
        <w:tc>
          <w:tcPr>
            <w:tcW w:w="1980"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Manajemen Laba</w:t>
            </w:r>
          </w:p>
        </w:tc>
        <w:tc>
          <w:tcPr>
            <w:tcW w:w="1195"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0.916</w:t>
            </w:r>
          </w:p>
        </w:tc>
        <w:tc>
          <w:tcPr>
            <w:tcW w:w="884"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1.092</w:t>
            </w:r>
          </w:p>
        </w:tc>
        <w:tc>
          <w:tcPr>
            <w:tcW w:w="3874" w:type="dxa"/>
            <w:tcBorders>
              <w:top w:val="single" w:sz="4" w:space="0" w:color="auto"/>
              <w:bottom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Bebas uji multikolinearitas</w:t>
            </w:r>
          </w:p>
        </w:tc>
      </w:tr>
    </w:tbl>
    <w:p w:rsidR="00202656" w:rsidRDefault="00202656" w:rsidP="00202656">
      <w:pPr>
        <w:spacing w:before="120" w:after="0" w:line="240" w:lineRule="auto"/>
        <w:jc w:val="both"/>
        <w:rPr>
          <w:rFonts w:ascii="Arial" w:hAnsi="Arial" w:cs="Arial"/>
          <w:bCs/>
        </w:rPr>
      </w:pPr>
      <w:r>
        <w:rPr>
          <w:rFonts w:ascii="Arial" w:hAnsi="Arial" w:cs="Arial"/>
          <w:bCs/>
        </w:rPr>
        <w:t>Sumber : data diolah (201</w:t>
      </w:r>
      <w:r w:rsidR="00232E68">
        <w:rPr>
          <w:rFonts w:ascii="Arial" w:hAnsi="Arial" w:cs="Arial"/>
          <w:bCs/>
        </w:rPr>
        <w:t>9</w:t>
      </w:r>
      <w:r>
        <w:rPr>
          <w:rFonts w:ascii="Arial" w:hAnsi="Arial" w:cs="Arial"/>
          <w:bCs/>
        </w:rPr>
        <w:t>)</w:t>
      </w:r>
    </w:p>
    <w:p w:rsidR="00202656" w:rsidRDefault="00202656" w:rsidP="00202656">
      <w:pPr>
        <w:spacing w:before="120" w:after="0" w:line="240" w:lineRule="auto"/>
        <w:jc w:val="both"/>
        <w:rPr>
          <w:rFonts w:ascii="Arial" w:hAnsi="Arial" w:cs="Arial"/>
          <w:bCs/>
        </w:rPr>
      </w:pPr>
      <w:r>
        <w:rPr>
          <w:rFonts w:ascii="Arial" w:hAnsi="Arial" w:cs="Arial"/>
          <w:bCs/>
        </w:rPr>
        <w:lastRenderedPageBreak/>
        <w:t>Analisis Regresi Linier Sederhana</w:t>
      </w:r>
    </w:p>
    <w:p w:rsidR="00202656" w:rsidRDefault="00202656" w:rsidP="00202656">
      <w:pPr>
        <w:spacing w:before="120" w:after="0" w:line="240" w:lineRule="auto"/>
        <w:jc w:val="both"/>
        <w:rPr>
          <w:rFonts w:ascii="Arial" w:hAnsi="Arial" w:cs="Arial"/>
          <w:bCs/>
        </w:rPr>
      </w:pPr>
      <w:r>
        <w:rPr>
          <w:rFonts w:ascii="Arial" w:hAnsi="Arial" w:cs="Arial"/>
          <w:bCs/>
        </w:rPr>
        <w:tab/>
        <w:t>Analisis regresi linier sederhana dilakukan untuk menguji pengaruh manajemen laba terhadap nilai perusahaan. Hasil uji regresi linier sederhana sebagai berikut:</w:t>
      </w:r>
    </w:p>
    <w:p w:rsidR="00202656" w:rsidRDefault="00232E68" w:rsidP="00232E68">
      <w:pPr>
        <w:spacing w:before="120" w:after="0" w:line="240" w:lineRule="auto"/>
        <w:jc w:val="center"/>
        <w:rPr>
          <w:rFonts w:ascii="Arial" w:hAnsi="Arial" w:cs="Arial"/>
          <w:bCs/>
        </w:rPr>
      </w:pPr>
      <w:r>
        <w:rPr>
          <w:rFonts w:ascii="Arial" w:hAnsi="Arial" w:cs="Arial"/>
          <w:bCs/>
        </w:rPr>
        <w:t>Tabel 4. Pengujian Hipotesis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1304"/>
        <w:gridCol w:w="1306"/>
        <w:gridCol w:w="1296"/>
        <w:gridCol w:w="1299"/>
        <w:gridCol w:w="1366"/>
      </w:tblGrid>
      <w:tr w:rsidR="00202656" w:rsidTr="00232E68">
        <w:tc>
          <w:tcPr>
            <w:tcW w:w="1309" w:type="dxa"/>
            <w:vMerge w:val="restart"/>
            <w:tcBorders>
              <w:top w:val="single" w:sz="4" w:space="0" w:color="auto"/>
            </w:tcBorders>
          </w:tcPr>
          <w:p w:rsidR="00202656" w:rsidRDefault="00202656" w:rsidP="00202656">
            <w:pPr>
              <w:spacing w:before="120" w:after="0" w:line="240" w:lineRule="auto"/>
              <w:jc w:val="both"/>
              <w:rPr>
                <w:rFonts w:ascii="Arial" w:hAnsi="Arial" w:cs="Arial"/>
                <w:bCs/>
              </w:rPr>
            </w:pPr>
          </w:p>
        </w:tc>
        <w:tc>
          <w:tcPr>
            <w:tcW w:w="2631" w:type="dxa"/>
            <w:gridSpan w:val="2"/>
            <w:tcBorders>
              <w:top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Unstandardized Coefficient</w:t>
            </w:r>
          </w:p>
        </w:tc>
        <w:tc>
          <w:tcPr>
            <w:tcW w:w="1309" w:type="dxa"/>
            <w:vMerge w:val="restart"/>
            <w:tcBorders>
              <w:top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t</w:t>
            </w:r>
          </w:p>
        </w:tc>
        <w:tc>
          <w:tcPr>
            <w:tcW w:w="1312" w:type="dxa"/>
            <w:vMerge w:val="restart"/>
            <w:tcBorders>
              <w:top w:val="single" w:sz="4" w:space="0" w:color="auto"/>
            </w:tcBorders>
          </w:tcPr>
          <w:p w:rsidR="00202656" w:rsidRDefault="00202656" w:rsidP="00202656">
            <w:pPr>
              <w:spacing w:before="120" w:after="0" w:line="240" w:lineRule="auto"/>
              <w:jc w:val="center"/>
              <w:rPr>
                <w:rFonts w:ascii="Arial" w:hAnsi="Arial" w:cs="Arial"/>
                <w:bCs/>
              </w:rPr>
            </w:pPr>
            <w:r>
              <w:rPr>
                <w:rFonts w:ascii="Arial" w:hAnsi="Arial" w:cs="Arial"/>
                <w:bCs/>
              </w:rPr>
              <w:t>sig</w:t>
            </w:r>
          </w:p>
        </w:tc>
        <w:tc>
          <w:tcPr>
            <w:tcW w:w="1366" w:type="dxa"/>
            <w:vMerge w:val="restart"/>
            <w:tcBorders>
              <w:top w:val="single" w:sz="4" w:space="0" w:color="auto"/>
            </w:tcBorders>
          </w:tcPr>
          <w:p w:rsidR="00202656" w:rsidRDefault="00202656" w:rsidP="00202656">
            <w:pPr>
              <w:spacing w:before="120" w:after="0" w:line="240" w:lineRule="auto"/>
              <w:jc w:val="both"/>
              <w:rPr>
                <w:rFonts w:ascii="Arial" w:hAnsi="Arial" w:cs="Arial"/>
                <w:bCs/>
              </w:rPr>
            </w:pPr>
            <w:r>
              <w:rPr>
                <w:rFonts w:ascii="Arial" w:hAnsi="Arial" w:cs="Arial"/>
                <w:bCs/>
              </w:rPr>
              <w:t>Kesimpulan</w:t>
            </w:r>
          </w:p>
        </w:tc>
      </w:tr>
      <w:tr w:rsidR="00202656" w:rsidTr="00232E68">
        <w:tc>
          <w:tcPr>
            <w:tcW w:w="1309" w:type="dxa"/>
            <w:vMerge/>
            <w:tcBorders>
              <w:bottom w:val="single" w:sz="4" w:space="0" w:color="auto"/>
            </w:tcBorders>
          </w:tcPr>
          <w:p w:rsidR="00202656" w:rsidRDefault="00202656" w:rsidP="00202656">
            <w:pPr>
              <w:spacing w:before="120" w:after="0" w:line="240" w:lineRule="auto"/>
              <w:jc w:val="both"/>
              <w:rPr>
                <w:rFonts w:ascii="Arial" w:hAnsi="Arial" w:cs="Arial"/>
                <w:bCs/>
              </w:rPr>
            </w:pPr>
          </w:p>
        </w:tc>
        <w:tc>
          <w:tcPr>
            <w:tcW w:w="1314" w:type="dxa"/>
            <w:tcBorders>
              <w:bottom w:val="single" w:sz="4" w:space="0" w:color="auto"/>
            </w:tcBorders>
          </w:tcPr>
          <w:p w:rsidR="00202656" w:rsidRDefault="00202656" w:rsidP="00202656">
            <w:pPr>
              <w:spacing w:before="120" w:after="0" w:line="240" w:lineRule="auto"/>
              <w:jc w:val="both"/>
              <w:rPr>
                <w:rFonts w:ascii="Arial" w:hAnsi="Arial" w:cs="Arial"/>
                <w:bCs/>
              </w:rPr>
            </w:pPr>
            <w:r>
              <w:rPr>
                <w:rFonts w:ascii="Arial" w:hAnsi="Arial" w:cs="Arial"/>
                <w:bCs/>
              </w:rPr>
              <w:t>β</w:t>
            </w:r>
          </w:p>
        </w:tc>
        <w:tc>
          <w:tcPr>
            <w:tcW w:w="1317" w:type="dxa"/>
            <w:tcBorders>
              <w:bottom w:val="single" w:sz="4" w:space="0" w:color="auto"/>
            </w:tcBorders>
          </w:tcPr>
          <w:p w:rsidR="00202656" w:rsidRDefault="00202656" w:rsidP="00202656">
            <w:pPr>
              <w:spacing w:before="120" w:after="0" w:line="240" w:lineRule="auto"/>
              <w:jc w:val="both"/>
              <w:rPr>
                <w:rFonts w:ascii="Arial" w:hAnsi="Arial" w:cs="Arial"/>
                <w:bCs/>
              </w:rPr>
            </w:pPr>
            <w:r>
              <w:rPr>
                <w:rFonts w:ascii="Arial" w:hAnsi="Arial" w:cs="Arial"/>
                <w:bCs/>
              </w:rPr>
              <w:t>Std Error</w:t>
            </w:r>
          </w:p>
        </w:tc>
        <w:tc>
          <w:tcPr>
            <w:tcW w:w="1309" w:type="dxa"/>
            <w:vMerge/>
            <w:tcBorders>
              <w:bottom w:val="single" w:sz="4" w:space="0" w:color="auto"/>
            </w:tcBorders>
          </w:tcPr>
          <w:p w:rsidR="00202656" w:rsidRDefault="00202656" w:rsidP="00202656">
            <w:pPr>
              <w:spacing w:before="120" w:after="0" w:line="240" w:lineRule="auto"/>
              <w:jc w:val="both"/>
              <w:rPr>
                <w:rFonts w:ascii="Arial" w:hAnsi="Arial" w:cs="Arial"/>
                <w:bCs/>
              </w:rPr>
            </w:pPr>
          </w:p>
        </w:tc>
        <w:tc>
          <w:tcPr>
            <w:tcW w:w="1312" w:type="dxa"/>
            <w:vMerge/>
            <w:tcBorders>
              <w:bottom w:val="single" w:sz="4" w:space="0" w:color="auto"/>
            </w:tcBorders>
          </w:tcPr>
          <w:p w:rsidR="00202656" w:rsidRDefault="00202656" w:rsidP="00202656">
            <w:pPr>
              <w:spacing w:before="120" w:after="0" w:line="240" w:lineRule="auto"/>
              <w:jc w:val="both"/>
              <w:rPr>
                <w:rFonts w:ascii="Arial" w:hAnsi="Arial" w:cs="Arial"/>
                <w:bCs/>
              </w:rPr>
            </w:pPr>
          </w:p>
        </w:tc>
        <w:tc>
          <w:tcPr>
            <w:tcW w:w="1366" w:type="dxa"/>
            <w:vMerge/>
            <w:tcBorders>
              <w:bottom w:val="single" w:sz="4" w:space="0" w:color="auto"/>
            </w:tcBorders>
          </w:tcPr>
          <w:p w:rsidR="00202656" w:rsidRDefault="00202656" w:rsidP="00202656">
            <w:pPr>
              <w:spacing w:before="120" w:after="0" w:line="240" w:lineRule="auto"/>
              <w:jc w:val="both"/>
              <w:rPr>
                <w:rFonts w:ascii="Arial" w:hAnsi="Arial" w:cs="Arial"/>
                <w:bCs/>
              </w:rPr>
            </w:pPr>
          </w:p>
        </w:tc>
      </w:tr>
      <w:tr w:rsidR="00202656" w:rsidTr="00232E68">
        <w:tc>
          <w:tcPr>
            <w:tcW w:w="1309" w:type="dxa"/>
            <w:tcBorders>
              <w:top w:val="single" w:sz="4" w:space="0" w:color="auto"/>
            </w:tcBorders>
          </w:tcPr>
          <w:p w:rsidR="00202656" w:rsidRDefault="00232E68" w:rsidP="00202656">
            <w:pPr>
              <w:spacing w:before="120" w:after="0" w:line="240" w:lineRule="auto"/>
              <w:jc w:val="both"/>
              <w:rPr>
                <w:rFonts w:ascii="Arial" w:hAnsi="Arial" w:cs="Arial"/>
                <w:bCs/>
              </w:rPr>
            </w:pPr>
            <w:r>
              <w:rPr>
                <w:rFonts w:ascii="Arial" w:hAnsi="Arial" w:cs="Arial"/>
                <w:bCs/>
              </w:rPr>
              <w:t>Constant</w:t>
            </w:r>
          </w:p>
        </w:tc>
        <w:tc>
          <w:tcPr>
            <w:tcW w:w="1314" w:type="dxa"/>
            <w:tcBorders>
              <w:top w:val="single" w:sz="4" w:space="0" w:color="auto"/>
            </w:tcBorders>
          </w:tcPr>
          <w:p w:rsidR="00202656" w:rsidRDefault="00232E68" w:rsidP="00202656">
            <w:pPr>
              <w:spacing w:before="120" w:after="0" w:line="240" w:lineRule="auto"/>
              <w:jc w:val="both"/>
              <w:rPr>
                <w:rFonts w:ascii="Arial" w:hAnsi="Arial" w:cs="Arial"/>
                <w:bCs/>
              </w:rPr>
            </w:pPr>
            <w:r>
              <w:rPr>
                <w:rFonts w:ascii="Arial" w:hAnsi="Arial" w:cs="Arial"/>
                <w:bCs/>
              </w:rPr>
              <w:t>1.574</w:t>
            </w:r>
          </w:p>
        </w:tc>
        <w:tc>
          <w:tcPr>
            <w:tcW w:w="1317" w:type="dxa"/>
            <w:tcBorders>
              <w:top w:val="single" w:sz="4" w:space="0" w:color="auto"/>
            </w:tcBorders>
          </w:tcPr>
          <w:p w:rsidR="00202656" w:rsidRDefault="00232E68" w:rsidP="00202656">
            <w:pPr>
              <w:spacing w:before="120" w:after="0" w:line="240" w:lineRule="auto"/>
              <w:jc w:val="both"/>
              <w:rPr>
                <w:rFonts w:ascii="Arial" w:hAnsi="Arial" w:cs="Arial"/>
                <w:bCs/>
              </w:rPr>
            </w:pPr>
            <w:r>
              <w:rPr>
                <w:rFonts w:ascii="Arial" w:hAnsi="Arial" w:cs="Arial"/>
                <w:bCs/>
              </w:rPr>
              <w:t>2.149</w:t>
            </w:r>
          </w:p>
        </w:tc>
        <w:tc>
          <w:tcPr>
            <w:tcW w:w="1309" w:type="dxa"/>
            <w:tcBorders>
              <w:top w:val="single" w:sz="4" w:space="0" w:color="auto"/>
            </w:tcBorders>
          </w:tcPr>
          <w:p w:rsidR="00202656" w:rsidRDefault="00232E68" w:rsidP="00202656">
            <w:pPr>
              <w:spacing w:before="120" w:after="0" w:line="240" w:lineRule="auto"/>
              <w:jc w:val="both"/>
              <w:rPr>
                <w:rFonts w:ascii="Arial" w:hAnsi="Arial" w:cs="Arial"/>
                <w:bCs/>
              </w:rPr>
            </w:pPr>
            <w:r>
              <w:rPr>
                <w:rFonts w:ascii="Arial" w:hAnsi="Arial" w:cs="Arial"/>
                <w:bCs/>
              </w:rPr>
              <w:t>0.732</w:t>
            </w:r>
          </w:p>
        </w:tc>
        <w:tc>
          <w:tcPr>
            <w:tcW w:w="1312" w:type="dxa"/>
            <w:tcBorders>
              <w:top w:val="single" w:sz="4" w:space="0" w:color="auto"/>
            </w:tcBorders>
          </w:tcPr>
          <w:p w:rsidR="00202656" w:rsidRDefault="00232E68" w:rsidP="00202656">
            <w:pPr>
              <w:spacing w:before="120" w:after="0" w:line="240" w:lineRule="auto"/>
              <w:jc w:val="both"/>
              <w:rPr>
                <w:rFonts w:ascii="Arial" w:hAnsi="Arial" w:cs="Arial"/>
                <w:bCs/>
              </w:rPr>
            </w:pPr>
            <w:r>
              <w:rPr>
                <w:rFonts w:ascii="Arial" w:hAnsi="Arial" w:cs="Arial"/>
                <w:bCs/>
              </w:rPr>
              <w:t>0.465</w:t>
            </w:r>
          </w:p>
        </w:tc>
        <w:tc>
          <w:tcPr>
            <w:tcW w:w="1366" w:type="dxa"/>
            <w:tcBorders>
              <w:top w:val="single" w:sz="4" w:space="0" w:color="auto"/>
            </w:tcBorders>
          </w:tcPr>
          <w:p w:rsidR="00202656" w:rsidRDefault="00202656" w:rsidP="00202656">
            <w:pPr>
              <w:spacing w:before="120" w:after="0" w:line="240" w:lineRule="auto"/>
              <w:jc w:val="both"/>
              <w:rPr>
                <w:rFonts w:ascii="Arial" w:hAnsi="Arial" w:cs="Arial"/>
                <w:bCs/>
              </w:rPr>
            </w:pPr>
          </w:p>
        </w:tc>
      </w:tr>
      <w:tr w:rsidR="00232E68" w:rsidTr="00232E68">
        <w:tc>
          <w:tcPr>
            <w:tcW w:w="1309" w:type="dxa"/>
            <w:tcBorders>
              <w:bottom w:val="single" w:sz="4" w:space="0" w:color="auto"/>
            </w:tcBorders>
          </w:tcPr>
          <w:p w:rsidR="00232E68" w:rsidRDefault="00232E68" w:rsidP="00202656">
            <w:pPr>
              <w:spacing w:before="120" w:after="0" w:line="240" w:lineRule="auto"/>
              <w:jc w:val="both"/>
              <w:rPr>
                <w:rFonts w:ascii="Arial" w:hAnsi="Arial" w:cs="Arial"/>
                <w:bCs/>
              </w:rPr>
            </w:pPr>
            <w:r>
              <w:rPr>
                <w:rFonts w:ascii="Arial" w:hAnsi="Arial" w:cs="Arial"/>
                <w:bCs/>
              </w:rPr>
              <w:t>Manajemen Laba</w:t>
            </w:r>
          </w:p>
        </w:tc>
        <w:tc>
          <w:tcPr>
            <w:tcW w:w="1314" w:type="dxa"/>
            <w:tcBorders>
              <w:bottom w:val="single" w:sz="4" w:space="0" w:color="auto"/>
            </w:tcBorders>
          </w:tcPr>
          <w:p w:rsidR="00232E68" w:rsidRDefault="00232E68" w:rsidP="00202656">
            <w:pPr>
              <w:spacing w:before="120" w:after="0" w:line="240" w:lineRule="auto"/>
              <w:jc w:val="both"/>
              <w:rPr>
                <w:rFonts w:ascii="Arial" w:hAnsi="Arial" w:cs="Arial"/>
                <w:bCs/>
              </w:rPr>
            </w:pPr>
            <w:r>
              <w:rPr>
                <w:rFonts w:ascii="Arial" w:hAnsi="Arial" w:cs="Arial"/>
                <w:bCs/>
              </w:rPr>
              <w:t>0.475</w:t>
            </w:r>
          </w:p>
        </w:tc>
        <w:tc>
          <w:tcPr>
            <w:tcW w:w="1317" w:type="dxa"/>
            <w:tcBorders>
              <w:bottom w:val="single" w:sz="4" w:space="0" w:color="auto"/>
            </w:tcBorders>
          </w:tcPr>
          <w:p w:rsidR="00232E68" w:rsidRDefault="00232E68" w:rsidP="00202656">
            <w:pPr>
              <w:spacing w:before="120" w:after="0" w:line="240" w:lineRule="auto"/>
              <w:jc w:val="both"/>
              <w:rPr>
                <w:rFonts w:ascii="Arial" w:hAnsi="Arial" w:cs="Arial"/>
                <w:bCs/>
              </w:rPr>
            </w:pPr>
            <w:r>
              <w:rPr>
                <w:rFonts w:ascii="Arial" w:hAnsi="Arial" w:cs="Arial"/>
                <w:bCs/>
              </w:rPr>
              <w:t>0.138</w:t>
            </w:r>
          </w:p>
        </w:tc>
        <w:tc>
          <w:tcPr>
            <w:tcW w:w="1309" w:type="dxa"/>
            <w:tcBorders>
              <w:bottom w:val="single" w:sz="4" w:space="0" w:color="auto"/>
            </w:tcBorders>
          </w:tcPr>
          <w:p w:rsidR="00232E68" w:rsidRDefault="00232E68" w:rsidP="00202656">
            <w:pPr>
              <w:spacing w:before="120" w:after="0" w:line="240" w:lineRule="auto"/>
              <w:jc w:val="both"/>
              <w:rPr>
                <w:rFonts w:ascii="Arial" w:hAnsi="Arial" w:cs="Arial"/>
                <w:bCs/>
              </w:rPr>
            </w:pPr>
            <w:r>
              <w:rPr>
                <w:rFonts w:ascii="Arial" w:hAnsi="Arial" w:cs="Arial"/>
                <w:bCs/>
              </w:rPr>
              <w:t>3.441</w:t>
            </w:r>
          </w:p>
        </w:tc>
        <w:tc>
          <w:tcPr>
            <w:tcW w:w="1312" w:type="dxa"/>
            <w:tcBorders>
              <w:bottom w:val="single" w:sz="4" w:space="0" w:color="auto"/>
            </w:tcBorders>
          </w:tcPr>
          <w:p w:rsidR="00232E68" w:rsidRDefault="00232E68" w:rsidP="00202656">
            <w:pPr>
              <w:spacing w:before="120" w:after="0" w:line="240" w:lineRule="auto"/>
              <w:jc w:val="both"/>
              <w:rPr>
                <w:rFonts w:ascii="Arial" w:hAnsi="Arial" w:cs="Arial"/>
                <w:bCs/>
              </w:rPr>
            </w:pPr>
            <w:r>
              <w:rPr>
                <w:rFonts w:ascii="Arial" w:hAnsi="Arial" w:cs="Arial"/>
                <w:bCs/>
              </w:rPr>
              <w:t>0.001</w:t>
            </w:r>
          </w:p>
        </w:tc>
        <w:tc>
          <w:tcPr>
            <w:tcW w:w="1366" w:type="dxa"/>
            <w:tcBorders>
              <w:bottom w:val="single" w:sz="4" w:space="0" w:color="auto"/>
            </w:tcBorders>
          </w:tcPr>
          <w:p w:rsidR="00232E68" w:rsidRDefault="00A467B6" w:rsidP="00202656">
            <w:pPr>
              <w:spacing w:before="120" w:after="0" w:line="240" w:lineRule="auto"/>
              <w:jc w:val="both"/>
              <w:rPr>
                <w:rFonts w:ascii="Arial" w:hAnsi="Arial" w:cs="Arial"/>
                <w:bCs/>
              </w:rPr>
            </w:pPr>
            <w:r>
              <w:rPr>
                <w:rFonts w:ascii="Arial" w:hAnsi="Arial" w:cs="Arial"/>
                <w:bCs/>
              </w:rPr>
              <w:t>Hipotesis ditolak</w:t>
            </w:r>
          </w:p>
        </w:tc>
      </w:tr>
    </w:tbl>
    <w:p w:rsidR="00202656" w:rsidRDefault="00232E68" w:rsidP="00202656">
      <w:pPr>
        <w:spacing w:before="120" w:after="0" w:line="240" w:lineRule="auto"/>
        <w:jc w:val="both"/>
        <w:rPr>
          <w:rFonts w:ascii="Arial" w:hAnsi="Arial" w:cs="Arial"/>
          <w:bCs/>
        </w:rPr>
      </w:pPr>
      <w:r>
        <w:rPr>
          <w:rFonts w:ascii="Arial" w:hAnsi="Arial" w:cs="Arial"/>
          <w:bCs/>
        </w:rPr>
        <w:t>Sumber : data diolah (2019)</w:t>
      </w:r>
    </w:p>
    <w:p w:rsidR="00232E68" w:rsidRDefault="00232E68" w:rsidP="00232E68">
      <w:pPr>
        <w:spacing w:before="120" w:after="0" w:line="240" w:lineRule="auto"/>
        <w:jc w:val="both"/>
        <w:rPr>
          <w:rFonts w:ascii="Arial" w:hAnsi="Arial" w:cs="Arial"/>
          <w:bCs/>
        </w:rPr>
      </w:pPr>
      <w:r>
        <w:rPr>
          <w:rFonts w:ascii="Arial" w:hAnsi="Arial" w:cs="Arial"/>
          <w:bCs/>
        </w:rPr>
        <w:tab/>
        <w:t>Berdasarkan Tabel 4, menunjukkan nilai β dari manajemen laba sebesar 0.475 dan bernilai positif. Hal ini menunjukkan semakin tinggi manajemen laba semakin tinggi nilai perusahaan. Nilai signifikansi dari manajemen laba terhadap nilai perusahaan sebesar 0.01. sehingga manajemen laba berpengaruh positif signifikan terhadap nilai perusahaan.</w:t>
      </w:r>
    </w:p>
    <w:p w:rsidR="00202656" w:rsidRDefault="007C70F6" w:rsidP="00202656">
      <w:pPr>
        <w:spacing w:before="120" w:after="0" w:line="240" w:lineRule="auto"/>
        <w:jc w:val="both"/>
        <w:rPr>
          <w:rFonts w:ascii="Arial" w:hAnsi="Arial" w:cs="Arial"/>
          <w:bCs/>
        </w:rPr>
      </w:pPr>
      <w:r>
        <w:rPr>
          <w:rFonts w:ascii="Arial" w:hAnsi="Arial" w:cs="Arial"/>
          <w:bCs/>
        </w:rPr>
        <w:t>Pembahasan</w:t>
      </w:r>
    </w:p>
    <w:p w:rsidR="002C6562" w:rsidRDefault="007C70F6" w:rsidP="009A6744">
      <w:pPr>
        <w:spacing w:before="120" w:after="0" w:line="240" w:lineRule="auto"/>
        <w:jc w:val="both"/>
        <w:rPr>
          <w:rFonts w:ascii="Arial" w:hAnsi="Arial" w:cs="Arial"/>
          <w:bCs/>
        </w:rPr>
      </w:pPr>
      <w:r>
        <w:rPr>
          <w:rFonts w:ascii="Arial" w:hAnsi="Arial" w:cs="Arial"/>
          <w:bCs/>
        </w:rPr>
        <w:t xml:space="preserve">Analisis statistik nilai signifikansi manajemen laba sebesar 0.01 dan nilai tersebut lebih kecil dari α = 0.01. Nilai β sebesar 0.475 dan bernilai positif, maka disimpulkan bahwa manajemen laba berpengaruh positif dan signifikan terhadap nilai perusahaan. </w:t>
      </w:r>
    </w:p>
    <w:p w:rsidR="007C70F6" w:rsidRDefault="007C70F6" w:rsidP="009A6744">
      <w:pPr>
        <w:spacing w:before="120" w:after="0" w:line="240" w:lineRule="auto"/>
        <w:jc w:val="both"/>
        <w:rPr>
          <w:rFonts w:ascii="Arial" w:hAnsi="Arial" w:cs="Arial"/>
          <w:bCs/>
        </w:rPr>
      </w:pPr>
      <w:r>
        <w:rPr>
          <w:rFonts w:ascii="Arial" w:hAnsi="Arial" w:cs="Arial"/>
          <w:bCs/>
        </w:rPr>
        <w:t>Hasil penelitian ini sesuai dengan</w:t>
      </w:r>
      <w:r w:rsidR="00532721">
        <w:rPr>
          <w:rFonts w:ascii="Arial" w:hAnsi="Arial" w:cs="Arial"/>
          <w:bCs/>
        </w:rPr>
        <w:t xml:space="preserve"> </w:t>
      </w:r>
      <w:r>
        <w:rPr>
          <w:rFonts w:ascii="Arial" w:hAnsi="Arial" w:cs="Arial"/>
          <w:bCs/>
        </w:rPr>
        <w:t xml:space="preserve"> </w:t>
      </w:r>
      <w:r w:rsidR="002200A4">
        <w:rPr>
          <w:rFonts w:ascii="Arial" w:hAnsi="Arial" w:cs="Arial"/>
          <w:bCs/>
        </w:rPr>
        <w:fldChar w:fldCharType="begin" w:fldLock="1"/>
      </w:r>
      <w:r w:rsidR="00342E03">
        <w:rPr>
          <w:rFonts w:ascii="Arial" w:hAnsi="Arial" w:cs="Arial"/>
          <w:bCs/>
        </w:rPr>
        <w:instrText>ADDIN CSL_CITATION {"citationItems":[{"id":"ITEM-1","itemData":{"author":[{"dropping-particle":"","family":"Foerster","given":"Stephen R","non-dropping-particle":"","parse-names":false,"suffix":""},{"dropping-particle":"","family":"Sapp","given":"Sthephen G","non-dropping-particle":"","parse-names":false,"suffix":""},{"dropping-particle":"","family":"Shi","given":"Yaqi","non-dropping-particle":"","parse-names":false,"suffix":""}],"container-title":"Financial Accouting and Reporting Sections (FARS)","id":"ITEM-1","issued":{"date-parts":[["2009"]]},"title":"The impact of management earnings forecast on firm resk and firm value. AAA 2010","type":"article-journal"},"uris":["http://www.mendeley.com/documents/?uuid=d00a74bd-68be-424d-a83d-80dde5272487"]}],"mendeley":{"formattedCitation":"(Foerster et al., 2009)","manualFormatting":"Foerster et al. (2009)","plainTextFormattedCitation":"(Foerster et al., 2009)","previouslyFormattedCitation":"(Foerster et al., 2009)"},"properties":{"noteIndex":0},"schema":"https://github.com/citation-style-language/schema/raw/master/csl-citation.json"}</w:instrText>
      </w:r>
      <w:r w:rsidR="002200A4">
        <w:rPr>
          <w:rFonts w:ascii="Arial" w:hAnsi="Arial" w:cs="Arial"/>
          <w:bCs/>
        </w:rPr>
        <w:fldChar w:fldCharType="separate"/>
      </w:r>
      <w:r w:rsidR="00342E03">
        <w:rPr>
          <w:rFonts w:ascii="Arial" w:hAnsi="Arial" w:cs="Arial"/>
          <w:bCs/>
          <w:noProof/>
        </w:rPr>
        <w:t>Foerster et al. (</w:t>
      </w:r>
      <w:r w:rsidR="002200A4" w:rsidRPr="002200A4">
        <w:rPr>
          <w:rFonts w:ascii="Arial" w:hAnsi="Arial" w:cs="Arial"/>
          <w:bCs/>
          <w:noProof/>
        </w:rPr>
        <w:t>2009)</w:t>
      </w:r>
      <w:r w:rsidR="002200A4">
        <w:rPr>
          <w:rFonts w:ascii="Arial" w:hAnsi="Arial" w:cs="Arial"/>
          <w:bCs/>
        </w:rPr>
        <w:fldChar w:fldCharType="end"/>
      </w:r>
      <w:r>
        <w:rPr>
          <w:rFonts w:ascii="Arial" w:hAnsi="Arial" w:cs="Arial"/>
          <w:bCs/>
        </w:rPr>
        <w:t>, mengungkapkan bahwa manajemen laba berpengaruh positif terhadap nilai perusahaan. Salah satu cara untuk meningkatkan nilai perusahaan adalah dengan melakukan manajemen laba. Praktik manajemen laba, perusahaan akan menyajikan laporan keuangan sebaik mungkin sehingga nilai perusahaan dapat meningkat. Akan tetapi praktik manajemen laba dapat meningkatkan nilai perusahaan dalam skala kecil</w:t>
      </w:r>
      <w:r w:rsidR="00532721">
        <w:rPr>
          <w:rFonts w:ascii="Arial" w:hAnsi="Arial" w:cs="Arial"/>
          <w:bCs/>
        </w:rPr>
        <w:t xml:space="preserve"> </w:t>
      </w:r>
      <w:r w:rsidR="00532721">
        <w:rPr>
          <w:rFonts w:ascii="Arial" w:hAnsi="Arial" w:cs="Arial"/>
          <w:bCs/>
        </w:rPr>
        <w:fldChar w:fldCharType="begin" w:fldLock="1"/>
      </w:r>
      <w:r w:rsidR="00532721">
        <w:rPr>
          <w:rFonts w:ascii="Arial" w:hAnsi="Arial" w:cs="Arial"/>
          <w:bCs/>
        </w:rPr>
        <w:instrText>ADDIN CSL_CITATION {"citationItems":[{"id":"ITEM-1","itemData":{"author":[{"dropping-particle":"","family":"Tandry","given":"Agatha Yosephine","non-dropping-particle":"","parse-names":false,"suffix":""},{"dropping-particle":"","family":"Setiawati","given":"Lulu","non-dropping-particle":"","parse-names":false,"suffix":""},{"dropping-particle":"","family":"Setiawan","given":"Evelyn","non-dropping-particle":"","parse-names":false,"suffix":""}],"container-title":"International Journal of Trade and Global Markets","id":"ITEM-1","issue":"3","issued":{"date-parts":[["2014"]]},"page":"190-204","title":"The effect of CSR disclousure to firm value with earning management as moderating variable: case study of non-financing firms listed at Indonesia Stock Exchange","type":"article-journal","volume":"7"},"uris":["http://www.mendeley.com/documents/?uuid=efaf484a-0630-482a-885d-0d740bebfbee"]}],"mendeley":{"formattedCitation":"(Tandry et al., 2014)","plainTextFormattedCitation":"(Tandry et al., 2014)","previouslyFormattedCitation":"(Tandry et al., 2014)"},"properties":{"noteIndex":0},"schema":"https://github.com/citation-style-language/schema/raw/master/csl-citation.json"}</w:instrText>
      </w:r>
      <w:r w:rsidR="00532721">
        <w:rPr>
          <w:rFonts w:ascii="Arial" w:hAnsi="Arial" w:cs="Arial"/>
          <w:bCs/>
        </w:rPr>
        <w:fldChar w:fldCharType="separate"/>
      </w:r>
      <w:r w:rsidR="00532721" w:rsidRPr="00532721">
        <w:rPr>
          <w:rFonts w:ascii="Arial" w:hAnsi="Arial" w:cs="Arial"/>
          <w:bCs/>
          <w:noProof/>
        </w:rPr>
        <w:t>(Tandry et al., 2014)</w:t>
      </w:r>
      <w:r w:rsidR="00532721">
        <w:rPr>
          <w:rFonts w:ascii="Arial" w:hAnsi="Arial" w:cs="Arial"/>
          <w:bCs/>
        </w:rPr>
        <w:fldChar w:fldCharType="end"/>
      </w:r>
      <w:r w:rsidR="00532721">
        <w:rPr>
          <w:rFonts w:ascii="Arial" w:hAnsi="Arial" w:cs="Arial"/>
          <w:bCs/>
        </w:rPr>
        <w:t>.</w:t>
      </w:r>
      <w:r w:rsidR="00532721">
        <w:rPr>
          <w:rFonts w:ascii="Arial" w:hAnsi="Arial" w:cs="Arial"/>
          <w:bCs/>
        </w:rPr>
        <w:fldChar w:fldCharType="begin" w:fldLock="1"/>
      </w:r>
      <w:r w:rsidR="00532721">
        <w:rPr>
          <w:rFonts w:ascii="Arial" w:hAnsi="Arial" w:cs="Arial"/>
          <w:bCs/>
        </w:rPr>
        <w:instrText>ADDIN CSL_CITATION {"citationItems":[{"id":"ITEM-1","itemData":{"DOI":"10.15208/beh.2018.25","author":[{"dropping-particle":"","family":"Suprianto","given":"E","non-dropping-particle":"","parse-names":false,"suffix":""},{"dropping-particle":"","family":"Setiawan","given":"D","non-dropping-particle":"","parse-names":false,"suffix":""}],"container-title":"Business and Economic Horizons","id":"ITEM-1","issue":"2","issued":{"date-parts":[["2018"]]},"page":"342-354","title":"Impact of Family control on the relationship between earning management and future performance in Indonesia","type":"article-journal","volume":"14"},"uris":["http://www.mendeley.com/documents/?uuid=bb1e85a7-3cbb-4d95-bc75-fc7311f8e0c4"]}],"mendeley":{"formattedCitation":"(Suprianto &amp; Setiawan, 2018)","manualFormatting":" Suprianto &amp; Setiawan (2018)","plainTextFormattedCitation":"(Suprianto &amp; Setiawan, 2018)","previouslyFormattedCitation":"(Suprianto &amp; Setiawan, 2018)"},"properties":{"noteIndex":0},"schema":"https://github.com/citation-style-language/schema/raw/master/csl-citation.json"}</w:instrText>
      </w:r>
      <w:r w:rsidR="00532721">
        <w:rPr>
          <w:rFonts w:ascii="Arial" w:hAnsi="Arial" w:cs="Arial"/>
          <w:bCs/>
        </w:rPr>
        <w:fldChar w:fldCharType="separate"/>
      </w:r>
      <w:r w:rsidR="00532721">
        <w:rPr>
          <w:rFonts w:ascii="Arial" w:hAnsi="Arial" w:cs="Arial"/>
          <w:bCs/>
          <w:noProof/>
        </w:rPr>
        <w:t xml:space="preserve"> Suprianto &amp; Setiawan (</w:t>
      </w:r>
      <w:r w:rsidR="00532721" w:rsidRPr="00532721">
        <w:rPr>
          <w:rFonts w:ascii="Arial" w:hAnsi="Arial" w:cs="Arial"/>
          <w:bCs/>
          <w:noProof/>
        </w:rPr>
        <w:t>2018)</w:t>
      </w:r>
      <w:r w:rsidR="00532721">
        <w:rPr>
          <w:rFonts w:ascii="Arial" w:hAnsi="Arial" w:cs="Arial"/>
          <w:bCs/>
        </w:rPr>
        <w:fldChar w:fldCharType="end"/>
      </w:r>
      <w:r w:rsidR="00532721">
        <w:rPr>
          <w:rFonts w:ascii="Arial" w:hAnsi="Arial" w:cs="Arial"/>
          <w:bCs/>
        </w:rPr>
        <w:t xml:space="preserve">, </w:t>
      </w:r>
      <w:r>
        <w:rPr>
          <w:rFonts w:ascii="Arial" w:hAnsi="Arial" w:cs="Arial"/>
          <w:bCs/>
        </w:rPr>
        <w:t>manajer melakukan manajemen laba sebagai alat untuk menyampaikan sinyal positif kepada pemegang saham tentang kinerja masa depa melalui pendapatan perusahaan.</w:t>
      </w:r>
    </w:p>
    <w:p w:rsidR="007C70F6" w:rsidRDefault="00532721" w:rsidP="009A6744">
      <w:pPr>
        <w:spacing w:before="120" w:after="0" w:line="240" w:lineRule="auto"/>
        <w:jc w:val="both"/>
        <w:rPr>
          <w:rFonts w:ascii="Arial" w:hAnsi="Arial" w:cs="Arial"/>
          <w:bCs/>
        </w:rPr>
      </w:pPr>
      <w:r>
        <w:rPr>
          <w:rFonts w:ascii="Arial" w:hAnsi="Arial" w:cs="Arial"/>
          <w:bCs/>
        </w:rPr>
        <w:fldChar w:fldCharType="begin" w:fldLock="1"/>
      </w:r>
      <w:r>
        <w:rPr>
          <w:rFonts w:ascii="Arial" w:hAnsi="Arial" w:cs="Arial"/>
          <w:bCs/>
        </w:rPr>
        <w:instrText>ADDIN CSL_CITATION {"citationItems":[{"id":"ITEM-1","itemData":{"author":[{"dropping-particle":"","family":"Jong","given":"De","non-dropping-particle":"","parse-names":false,"suffix":""},{"dropping-particle":"","family":"Abe","given":"Mertens","non-dropping-particle":"","parse-names":false,"suffix":""},{"dropping-particle":"","family":"Gerard","given":"van der Poel","non-dropping-particle":"","parse-names":false,"suffix":""},{"dropping-particle":"","family":"Marieke","given":"","non-dropping-particle":"","parse-names":false,"suffix":""},{"dropping-particle":"","family":"Dijk","given":"Ronald","non-dropping-particle":"Van","parse-names":false,"suffix":""}],"container-title":"Review of Accounting Studies","id":"ITEM-1","issue":"2","issued":{"date-parts":[["2014"]]},"page":"606-627","title":"How does earning management influence investors perceptions of firm value. Survey evidence from financial analysist","type":"article-journal","volume":"19"},"uris":["http://www.mendeley.com/documents/?uuid=94dd9921-f092-4313-b291-945b7012db7f"]}],"mendeley":{"formattedCitation":"(Jong et al., 2014)","manualFormatting":"Jong et al. (2014)","plainTextFormattedCitation":"(Jong et al., 2014)","previouslyFormattedCitation":"(Jong et al., 2014)"},"properties":{"noteIndex":0},"schema":"https://github.com/citation-style-language/schema/raw/master/csl-citation.json"}</w:instrText>
      </w:r>
      <w:r>
        <w:rPr>
          <w:rFonts w:ascii="Arial" w:hAnsi="Arial" w:cs="Arial"/>
          <w:bCs/>
        </w:rPr>
        <w:fldChar w:fldCharType="separate"/>
      </w:r>
      <w:r>
        <w:rPr>
          <w:rFonts w:ascii="Arial" w:hAnsi="Arial" w:cs="Arial"/>
          <w:bCs/>
          <w:noProof/>
        </w:rPr>
        <w:t>Jong et al. (</w:t>
      </w:r>
      <w:r w:rsidRPr="00532721">
        <w:rPr>
          <w:rFonts w:ascii="Arial" w:hAnsi="Arial" w:cs="Arial"/>
          <w:bCs/>
          <w:noProof/>
        </w:rPr>
        <w:t>2014)</w:t>
      </w:r>
      <w:r>
        <w:rPr>
          <w:rFonts w:ascii="Arial" w:hAnsi="Arial" w:cs="Arial"/>
          <w:bCs/>
        </w:rPr>
        <w:fldChar w:fldCharType="end"/>
      </w:r>
      <w:r w:rsidR="007C70F6">
        <w:rPr>
          <w:rFonts w:ascii="Arial" w:hAnsi="Arial" w:cs="Arial"/>
          <w:bCs/>
        </w:rPr>
        <w:t xml:space="preserve">, menyatakan bahwa analis dan CFO </w:t>
      </w:r>
      <w:r w:rsidR="00A467B6">
        <w:rPr>
          <w:rFonts w:ascii="Arial" w:hAnsi="Arial" w:cs="Arial"/>
          <w:bCs/>
        </w:rPr>
        <w:t>percaya bahwa memenuhi standar pendapatan dan kenaikan laba dapat meningkatkan nilai perusahaan. Akan tetapi terdapat perbedaan tolak ukur tindakan manajemen laba antara CFO dan analis. Pandangan CFO untuk memenuhi tolak ukur  yaitu mengurangi pengeluaran diskresioner dan menunda dimulainya proyek baru sedangkan pandangan analis bahwa hanya melakukan pembelian kembali saham dapat meningkatkan nilai perusahaan.</w:t>
      </w:r>
      <w:r>
        <w:rPr>
          <w:rFonts w:ascii="Arial" w:hAnsi="Arial" w:cs="Arial"/>
          <w:bCs/>
        </w:rPr>
        <w:fldChar w:fldCharType="begin" w:fldLock="1"/>
      </w:r>
      <w:r w:rsidR="002200A4">
        <w:rPr>
          <w:rFonts w:ascii="Arial" w:hAnsi="Arial" w:cs="Arial"/>
          <w:bCs/>
        </w:rPr>
        <w:instrText>ADDIN CSL_CITATION {"citationItems":[{"id":"ITEM-1","itemData":{"author":[{"dropping-particle":"","family":"Li","given":"Jinjin","non-dropping-particle":"","parse-names":false,"suffix":""},{"dropping-particle":"","family":"Wang","given":"Bo","non-dropping-particle":"","parse-names":false,"suffix":""},{"dropping-particle":"","family":"Guo","given":"Haifeng","non-dropping-particle":"","parse-names":false,"suffix":""}],"container-title":"International Review of Accounting, Banking &amp; Finance","id":"ITEM-1","issue":"1","issued":{"date-parts":[["2017"]]},"title":"Private Equity Characteristic Earning Management &amp; Firm Value","type":"article-journal","volume":"9"},"uris":["http://www.mendeley.com/documents/?uuid=2360a38d-7951-4e84-9840-029fb309a4a6"]}],"mendeley":{"formattedCitation":"(Li et al., 2017)","manualFormatting":" Li et al. (2017)","plainTextFormattedCitation":"(Li et al., 2017)","previouslyFormattedCitation":"(Li et al., 2017)"},"properties":{"noteIndex":0},"schema":"https://github.com/citation-style-language/schema/raw/master/csl-citation.json"}</w:instrText>
      </w:r>
      <w:r>
        <w:rPr>
          <w:rFonts w:ascii="Arial" w:hAnsi="Arial" w:cs="Arial"/>
          <w:bCs/>
        </w:rPr>
        <w:fldChar w:fldCharType="separate"/>
      </w:r>
      <w:r>
        <w:rPr>
          <w:rFonts w:ascii="Arial" w:hAnsi="Arial" w:cs="Arial"/>
          <w:bCs/>
          <w:noProof/>
        </w:rPr>
        <w:t xml:space="preserve"> Li et al. (</w:t>
      </w:r>
      <w:r w:rsidRPr="00532721">
        <w:rPr>
          <w:rFonts w:ascii="Arial" w:hAnsi="Arial" w:cs="Arial"/>
          <w:bCs/>
          <w:noProof/>
        </w:rPr>
        <w:t>2017)</w:t>
      </w:r>
      <w:r>
        <w:rPr>
          <w:rFonts w:ascii="Arial" w:hAnsi="Arial" w:cs="Arial"/>
          <w:bCs/>
        </w:rPr>
        <w:fldChar w:fldCharType="end"/>
      </w:r>
      <w:r>
        <w:rPr>
          <w:rFonts w:ascii="Arial" w:hAnsi="Arial" w:cs="Arial"/>
          <w:bCs/>
        </w:rPr>
        <w:t xml:space="preserve">, </w:t>
      </w:r>
      <w:r w:rsidR="00A467B6">
        <w:rPr>
          <w:rFonts w:ascii="Arial" w:hAnsi="Arial" w:cs="Arial"/>
          <w:bCs/>
        </w:rPr>
        <w:t xml:space="preserve">manajemen sering kali menggunakan manajemen laba untuk memaksimalkan kepentingannya dalam lingkup kebijakan legal dan akuntansi. Manajemem laba untuk jangka pendek kemungkinan akan meningkatkan nilai perusahaan akan tetapi menurunkan nilai perusaaan dalam jangka panjang. </w:t>
      </w:r>
    </w:p>
    <w:p w:rsidR="00A467B6" w:rsidRDefault="00A467B6" w:rsidP="009A6744">
      <w:pPr>
        <w:spacing w:before="120" w:after="0" w:line="240" w:lineRule="auto"/>
        <w:jc w:val="both"/>
        <w:rPr>
          <w:rFonts w:ascii="Arial" w:hAnsi="Arial" w:cs="Arial"/>
          <w:bCs/>
        </w:rPr>
      </w:pPr>
      <w:r>
        <w:rPr>
          <w:rFonts w:ascii="Arial" w:hAnsi="Arial" w:cs="Arial"/>
          <w:bCs/>
        </w:rPr>
        <w:t xml:space="preserve">Teori agensi yang digunakan peneliti belum mampu mendiskripsikan pengaruh negatif dalam pengujian manajemen laba terhadap nilai perusahaan. Penggunaan </w:t>
      </w:r>
      <w:r>
        <w:rPr>
          <w:rFonts w:ascii="Arial" w:hAnsi="Arial" w:cs="Arial"/>
          <w:bCs/>
        </w:rPr>
        <w:lastRenderedPageBreak/>
        <w:t xml:space="preserve">pengukuran modifikasi jones dalam mendeteksi manajemen laba dimungkinkan kurang sesuai dengan teori agensi yang telah digunakan peneliti. </w:t>
      </w:r>
    </w:p>
    <w:p w:rsidR="00F01F54" w:rsidRPr="00890EBB" w:rsidRDefault="00F01F54" w:rsidP="009A6744">
      <w:pPr>
        <w:spacing w:before="120" w:after="0" w:line="240" w:lineRule="auto"/>
        <w:jc w:val="both"/>
        <w:rPr>
          <w:rFonts w:ascii="Arial" w:hAnsi="Arial" w:cs="Arial"/>
          <w:bCs/>
        </w:rPr>
      </w:pPr>
    </w:p>
    <w:p w:rsidR="009A6744" w:rsidRDefault="009A6744" w:rsidP="009A6744">
      <w:pPr>
        <w:spacing w:before="120" w:after="120" w:line="240" w:lineRule="auto"/>
        <w:jc w:val="both"/>
        <w:rPr>
          <w:rFonts w:ascii="Arial" w:hAnsi="Arial" w:cs="Arial"/>
          <w:b/>
        </w:rPr>
      </w:pPr>
      <w:r w:rsidRPr="005F1AF4">
        <w:rPr>
          <w:rFonts w:ascii="Arial" w:hAnsi="Arial" w:cs="Arial"/>
          <w:b/>
        </w:rPr>
        <w:t>SIMPULAN DAN REKOMENDASI</w:t>
      </w:r>
    </w:p>
    <w:p w:rsidR="00A467B6" w:rsidRDefault="00A467B6" w:rsidP="009A6744">
      <w:pPr>
        <w:spacing w:before="120" w:after="120" w:line="240" w:lineRule="auto"/>
        <w:jc w:val="both"/>
        <w:rPr>
          <w:rFonts w:ascii="Arial" w:hAnsi="Arial" w:cs="Arial"/>
        </w:rPr>
      </w:pPr>
      <w:r>
        <w:rPr>
          <w:rFonts w:ascii="Arial" w:hAnsi="Arial" w:cs="Arial"/>
        </w:rPr>
        <w:t>Berdasarkan hasil penelitian yang telah di bahas pada bab sebelumnya, maka diperoleh kesimpulan bahwa manajemen laba berpengaruh positif terhadap nilai perusahaan</w:t>
      </w:r>
      <w:r w:rsidR="005D6AD6">
        <w:rPr>
          <w:rFonts w:ascii="Arial" w:hAnsi="Arial" w:cs="Arial"/>
        </w:rPr>
        <w:t xml:space="preserve">. </w:t>
      </w:r>
    </w:p>
    <w:p w:rsidR="005D6AD6" w:rsidRDefault="005D6AD6" w:rsidP="009A6744">
      <w:pPr>
        <w:spacing w:before="120" w:after="120" w:line="240" w:lineRule="auto"/>
        <w:jc w:val="both"/>
        <w:rPr>
          <w:rFonts w:ascii="Arial" w:hAnsi="Arial" w:cs="Arial"/>
        </w:rPr>
      </w:pPr>
      <w:r>
        <w:rPr>
          <w:rFonts w:ascii="Arial" w:hAnsi="Arial" w:cs="Arial"/>
        </w:rPr>
        <w:t>Hasil penelitian ini memberikan beberapa implikasi untuk investor diharapkan mampu memberikan informasi kepada para pemegang saham terkait bagaimana kecenderugan manajer melakukan manajemen laba. Tindakan manajemen laba dilakukan para manajer keuangan untuk memenuhi kepentingan pribadi.</w:t>
      </w:r>
    </w:p>
    <w:p w:rsidR="005D6AD6" w:rsidRDefault="005D6AD6" w:rsidP="009A6744">
      <w:pPr>
        <w:spacing w:before="120" w:after="120" w:line="240" w:lineRule="auto"/>
        <w:jc w:val="both"/>
        <w:rPr>
          <w:rFonts w:ascii="Arial" w:hAnsi="Arial" w:cs="Arial"/>
        </w:rPr>
      </w:pPr>
      <w:r>
        <w:rPr>
          <w:rFonts w:ascii="Arial" w:hAnsi="Arial" w:cs="Arial"/>
        </w:rPr>
        <w:t>Keterbatasan penelitian ini, teori agensi yang digunakan peneliti belum mampu mendeskripsikan pengaruh negatif manajemen laba terhadap nilai perusahaan. Penggunaan pengukuran modifikasi jones dalam mendeteksi manajemen laba kemungkinan kurang sesuai dengan teori agensi yang telah digunakan peneliti.</w:t>
      </w:r>
    </w:p>
    <w:p w:rsidR="005D6AD6" w:rsidRPr="00A467B6" w:rsidRDefault="005D6AD6" w:rsidP="009A6744">
      <w:pPr>
        <w:spacing w:before="120" w:after="120" w:line="240" w:lineRule="auto"/>
        <w:jc w:val="both"/>
        <w:rPr>
          <w:rFonts w:ascii="Arial" w:hAnsi="Arial" w:cs="Arial"/>
        </w:rPr>
      </w:pPr>
      <w:r>
        <w:rPr>
          <w:rFonts w:ascii="Arial" w:hAnsi="Arial" w:cs="Arial"/>
        </w:rPr>
        <w:t>Saran untuk penelitian selanjutnya dapat menggunakan teori sinyal. Teori sinyal mampu memberikan bukti bahwa manajemen laba memiliki pengaruh positif terhadap nilai perusahaan.</w:t>
      </w:r>
    </w:p>
    <w:p w:rsidR="009A6744" w:rsidRPr="005F1AF4" w:rsidRDefault="009A6744" w:rsidP="009A6744">
      <w:pPr>
        <w:spacing w:after="0" w:line="240" w:lineRule="auto"/>
      </w:pPr>
    </w:p>
    <w:p w:rsidR="002200A4" w:rsidRDefault="00235DC6" w:rsidP="009A6744">
      <w:pPr>
        <w:spacing w:before="120" w:after="0" w:line="240" w:lineRule="auto"/>
        <w:jc w:val="both"/>
        <w:rPr>
          <w:rFonts w:ascii="Arial" w:hAnsi="Arial" w:cs="Arial"/>
          <w:b/>
        </w:rPr>
      </w:pPr>
      <w:r w:rsidRPr="00235DC6">
        <w:rPr>
          <w:rFonts w:ascii="Arial" w:hAnsi="Arial" w:cs="Arial"/>
          <w:b/>
        </w:rPr>
        <w:t>DAFTAR PUSTAKA</w:t>
      </w:r>
    </w:p>
    <w:p w:rsidR="00235DC6" w:rsidRDefault="00235DC6" w:rsidP="009A6744">
      <w:pPr>
        <w:spacing w:before="120" w:after="0" w:line="240" w:lineRule="auto"/>
        <w:jc w:val="both"/>
        <w:rPr>
          <w:rFonts w:ascii="Arial" w:hAnsi="Arial" w:cs="Arial"/>
          <w:b/>
        </w:rPr>
      </w:pPr>
    </w:p>
    <w:p w:rsidR="00235DC6" w:rsidRPr="00235DC6" w:rsidRDefault="00235DC6" w:rsidP="00235DC6">
      <w:pPr>
        <w:spacing w:after="0" w:line="240" w:lineRule="auto"/>
        <w:ind w:left="567" w:hanging="567"/>
        <w:jc w:val="both"/>
        <w:rPr>
          <w:rFonts w:ascii="Arial" w:hAnsi="Arial" w:cs="Arial"/>
          <w:spacing w:val="2"/>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235DC6">
        <w:rPr>
          <w:rFonts w:ascii="Arial" w:hAnsi="Arial" w:cs="Arial"/>
          <w:noProof/>
          <w:szCs w:val="24"/>
        </w:rPr>
        <w:t xml:space="preserve">Afriyanto, D. (2019). </w:t>
      </w:r>
      <w:r w:rsidRPr="00235DC6">
        <w:rPr>
          <w:rFonts w:ascii="Arial" w:hAnsi="Arial" w:cs="Arial"/>
          <w:i/>
          <w:iCs/>
          <w:noProof/>
          <w:szCs w:val="24"/>
        </w:rPr>
        <w:t>Direksi Timah Dituding Manipulasi Laporan Keuangan</w:t>
      </w:r>
      <w:r w:rsidRPr="00235DC6">
        <w:rPr>
          <w:rFonts w:ascii="Arial" w:hAnsi="Arial" w:cs="Arial"/>
          <w:noProof/>
          <w:szCs w:val="24"/>
        </w:rPr>
        <w:t>.</w:t>
      </w:r>
      <w:r>
        <w:rPr>
          <w:rFonts w:ascii="Arial" w:hAnsi="Arial" w:cs="Arial"/>
          <w:noProof/>
          <w:szCs w:val="24"/>
        </w:rPr>
        <w:t xml:space="preserve"> </w:t>
      </w:r>
      <w:hyperlink r:id="rId11" w:history="1">
        <w:r w:rsidRPr="000B226C">
          <w:rPr>
            <w:rStyle w:val="Hyperlink"/>
            <w:rFonts w:ascii="Arial" w:hAnsi="Arial" w:cs="Arial"/>
            <w:spacing w:val="2"/>
          </w:rPr>
          <w:t>http://economy.okezone.com/read/2016/01/27/27/1298264/direksi-timah-dituding-manipulasi-laporan-keuangan</w:t>
        </w:r>
      </w:hyperlink>
      <w:r>
        <w:rPr>
          <w:rFonts w:ascii="Arial" w:hAnsi="Arial" w:cs="Arial"/>
          <w:spacing w:val="2"/>
        </w:rPr>
        <w:t>.Diakses 1 November 2019</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Chung, K. H., &amp; Pruitt, S. W. (2007). A Simple Approximation of Tobin’s q. </w:t>
      </w:r>
      <w:r w:rsidRPr="00235DC6">
        <w:rPr>
          <w:rFonts w:ascii="Arial" w:hAnsi="Arial" w:cs="Arial"/>
          <w:i/>
          <w:iCs/>
          <w:noProof/>
          <w:szCs w:val="24"/>
        </w:rPr>
        <w:t>Financial Management</w:t>
      </w:r>
      <w:r w:rsidRPr="00235DC6">
        <w:rPr>
          <w:rFonts w:ascii="Arial" w:hAnsi="Arial" w:cs="Arial"/>
          <w:noProof/>
          <w:szCs w:val="24"/>
        </w:rPr>
        <w:t xml:space="preserve">, </w:t>
      </w:r>
      <w:r w:rsidRPr="00235DC6">
        <w:rPr>
          <w:rFonts w:ascii="Arial" w:hAnsi="Arial" w:cs="Arial"/>
          <w:i/>
          <w:iCs/>
          <w:noProof/>
          <w:szCs w:val="24"/>
        </w:rPr>
        <w:t>23</w:t>
      </w:r>
      <w:r w:rsidRPr="00235DC6">
        <w:rPr>
          <w:rFonts w:ascii="Arial" w:hAnsi="Arial" w:cs="Arial"/>
          <w:noProof/>
          <w:szCs w:val="24"/>
        </w:rPr>
        <w:t>(3), 70. https://doi.org/10.2307/3665623</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Darwis, H. (2012). Manajemen Laba terhadap Nilai Perusahaan degan Corporate Governance sebagai PemoderasiNo Title. </w:t>
      </w:r>
      <w:r w:rsidRPr="00235DC6">
        <w:rPr>
          <w:rFonts w:ascii="Arial" w:hAnsi="Arial" w:cs="Arial"/>
          <w:i/>
          <w:iCs/>
          <w:noProof/>
          <w:szCs w:val="24"/>
        </w:rPr>
        <w:t>Jurnal Keuangan Dan Perbankan</w:t>
      </w:r>
      <w:r w:rsidRPr="00235DC6">
        <w:rPr>
          <w:rFonts w:ascii="Arial" w:hAnsi="Arial" w:cs="Arial"/>
          <w:noProof/>
          <w:szCs w:val="24"/>
        </w:rPr>
        <w:t xml:space="preserve">, </w:t>
      </w:r>
      <w:r w:rsidRPr="00235DC6">
        <w:rPr>
          <w:rFonts w:ascii="Arial" w:hAnsi="Arial" w:cs="Arial"/>
          <w:i/>
          <w:iCs/>
          <w:noProof/>
          <w:szCs w:val="24"/>
        </w:rPr>
        <w:t>16</w:t>
      </w:r>
      <w:r w:rsidRPr="00235DC6">
        <w:rPr>
          <w:rFonts w:ascii="Arial" w:hAnsi="Arial" w:cs="Arial"/>
          <w:noProof/>
          <w:szCs w:val="24"/>
        </w:rPr>
        <w:t>(1).</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Foerster, S. R., Sapp, S. G., &amp; Shi, Y. (2009). The impact of management earnings forecast on firm resk and firm value. AAA 2010. </w:t>
      </w:r>
      <w:r w:rsidRPr="00235DC6">
        <w:rPr>
          <w:rFonts w:ascii="Arial" w:hAnsi="Arial" w:cs="Arial"/>
          <w:i/>
          <w:iCs/>
          <w:noProof/>
          <w:szCs w:val="24"/>
        </w:rPr>
        <w:t>Financial Accouting and Reporting Sections (FARS)</w:t>
      </w:r>
      <w:r w:rsidRPr="00235DC6">
        <w:rPr>
          <w:rFonts w:ascii="Arial" w:hAnsi="Arial" w:cs="Arial"/>
          <w:noProof/>
          <w:szCs w:val="24"/>
        </w:rPr>
        <w:t>.</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Gill, A., Biger, N., Mand, H. S., &amp; Mathur, N. (2013). Earnings management, firm performance, and the value of Indian manufacturing firms. </w:t>
      </w:r>
      <w:r w:rsidRPr="00235DC6">
        <w:rPr>
          <w:rFonts w:ascii="Arial" w:hAnsi="Arial" w:cs="Arial"/>
          <w:i/>
          <w:iCs/>
          <w:noProof/>
          <w:szCs w:val="24"/>
        </w:rPr>
        <w:t>International Research Journal of Finance and Economics</w:t>
      </w:r>
      <w:r w:rsidRPr="00235DC6">
        <w:rPr>
          <w:rFonts w:ascii="Arial" w:hAnsi="Arial" w:cs="Arial"/>
          <w:noProof/>
          <w:szCs w:val="24"/>
        </w:rPr>
        <w:t xml:space="preserve">, </w:t>
      </w:r>
      <w:r w:rsidRPr="00235DC6">
        <w:rPr>
          <w:rFonts w:ascii="Arial" w:hAnsi="Arial" w:cs="Arial"/>
          <w:i/>
          <w:iCs/>
          <w:noProof/>
          <w:szCs w:val="24"/>
        </w:rPr>
        <w:t>116</w:t>
      </w:r>
      <w:r w:rsidRPr="00235DC6">
        <w:rPr>
          <w:rFonts w:ascii="Arial" w:hAnsi="Arial" w:cs="Arial"/>
          <w:noProof/>
          <w:szCs w:val="24"/>
        </w:rPr>
        <w:t>, 13–26.</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Helmayunita, N., &amp; Sari, V. F. (2013). Pengaruh Manajemen Laba dan Struktur Kepemilikkkan Perusahaan terhadap Nilai Perusahaan. </w:t>
      </w:r>
      <w:r w:rsidRPr="00235DC6">
        <w:rPr>
          <w:rFonts w:ascii="Arial" w:hAnsi="Arial" w:cs="Arial"/>
          <w:i/>
          <w:iCs/>
          <w:noProof/>
          <w:szCs w:val="24"/>
        </w:rPr>
        <w:t>Wahana Riset Akuntansi</w:t>
      </w:r>
      <w:r w:rsidRPr="00235DC6">
        <w:rPr>
          <w:rFonts w:ascii="Arial" w:hAnsi="Arial" w:cs="Arial"/>
          <w:noProof/>
          <w:szCs w:val="24"/>
        </w:rPr>
        <w:t xml:space="preserve">, </w:t>
      </w:r>
      <w:r w:rsidRPr="00235DC6">
        <w:rPr>
          <w:rFonts w:ascii="Arial" w:hAnsi="Arial" w:cs="Arial"/>
          <w:i/>
          <w:iCs/>
          <w:noProof/>
          <w:szCs w:val="24"/>
        </w:rPr>
        <w:t>1</w:t>
      </w:r>
      <w:r w:rsidRPr="00235DC6">
        <w:rPr>
          <w:rFonts w:ascii="Arial" w:hAnsi="Arial" w:cs="Arial"/>
          <w:noProof/>
          <w:szCs w:val="24"/>
        </w:rPr>
        <w:t>(1).</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Herman, M. B., &amp; Purwanto, A. (2014). Pengaruh Manajemen Laba, Resiko Pasar, Komite Audit, Audit Eksternal dan Struktur Kepemilikkan terhadap nilai pasar (Studi empiris pada Perusahaan Manufaktur yang Terdaftar di Bursa Efek Indonesia Tahun 2011-2013. </w:t>
      </w:r>
      <w:r w:rsidRPr="00235DC6">
        <w:rPr>
          <w:rFonts w:ascii="Arial" w:hAnsi="Arial" w:cs="Arial"/>
          <w:i/>
          <w:iCs/>
          <w:noProof/>
          <w:szCs w:val="24"/>
        </w:rPr>
        <w:t>Journal of Accounting</w:t>
      </w:r>
      <w:r w:rsidRPr="00235DC6">
        <w:rPr>
          <w:rFonts w:ascii="Arial" w:hAnsi="Arial" w:cs="Arial"/>
          <w:noProof/>
          <w:szCs w:val="24"/>
        </w:rPr>
        <w:t xml:space="preserve">, </w:t>
      </w:r>
      <w:r w:rsidRPr="00235DC6">
        <w:rPr>
          <w:rFonts w:ascii="Arial" w:hAnsi="Arial" w:cs="Arial"/>
          <w:i/>
          <w:iCs/>
          <w:noProof/>
          <w:szCs w:val="24"/>
        </w:rPr>
        <w:t>4</w:t>
      </w:r>
      <w:r w:rsidRPr="00235DC6">
        <w:rPr>
          <w:rFonts w:ascii="Arial" w:hAnsi="Arial" w:cs="Arial"/>
          <w:noProof/>
          <w:szCs w:val="24"/>
        </w:rPr>
        <w:t>(1), 1–12.</w:t>
      </w:r>
    </w:p>
    <w:p w:rsid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Jong, D., Abe, M., Gerard,  van der P., Marieke, &amp; Van Dijk, R. (2014). How does earning management influence investors perceptions of firm value. Survey evidence from financial analysist. </w:t>
      </w:r>
      <w:r w:rsidRPr="00235DC6">
        <w:rPr>
          <w:rFonts w:ascii="Arial" w:hAnsi="Arial" w:cs="Arial"/>
          <w:i/>
          <w:iCs/>
          <w:noProof/>
          <w:szCs w:val="24"/>
        </w:rPr>
        <w:t>Review of Accounting Studies</w:t>
      </w:r>
      <w:r w:rsidRPr="00235DC6">
        <w:rPr>
          <w:rFonts w:ascii="Arial" w:hAnsi="Arial" w:cs="Arial"/>
          <w:noProof/>
          <w:szCs w:val="24"/>
        </w:rPr>
        <w:t xml:space="preserve">, </w:t>
      </w:r>
      <w:r w:rsidRPr="00235DC6">
        <w:rPr>
          <w:rFonts w:ascii="Arial" w:hAnsi="Arial" w:cs="Arial"/>
          <w:i/>
          <w:iCs/>
          <w:noProof/>
          <w:szCs w:val="24"/>
        </w:rPr>
        <w:t>19</w:t>
      </w:r>
      <w:r w:rsidRPr="00235DC6">
        <w:rPr>
          <w:rFonts w:ascii="Arial" w:hAnsi="Arial" w:cs="Arial"/>
          <w:noProof/>
          <w:szCs w:val="24"/>
        </w:rPr>
        <w:t>(2), 606–627.</w:t>
      </w:r>
    </w:p>
    <w:p w:rsid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Kim, D. ., Kim, B. ., &amp; Youn, M. . (2017). Family ownership and firm value: perspective to related-party transaction and wealth tranfer. </w:t>
      </w:r>
      <w:r w:rsidRPr="00235DC6">
        <w:rPr>
          <w:rFonts w:ascii="Arial" w:hAnsi="Arial" w:cs="Arial"/>
          <w:i/>
          <w:iCs/>
          <w:noProof/>
          <w:szCs w:val="24"/>
        </w:rPr>
        <w:t>Journal of Distribution Science</w:t>
      </w:r>
      <w:r w:rsidRPr="00235DC6">
        <w:rPr>
          <w:rFonts w:ascii="Arial" w:hAnsi="Arial" w:cs="Arial"/>
          <w:noProof/>
          <w:szCs w:val="24"/>
        </w:rPr>
        <w:t xml:space="preserve">, </w:t>
      </w:r>
      <w:r w:rsidRPr="00235DC6">
        <w:rPr>
          <w:rFonts w:ascii="Arial" w:hAnsi="Arial" w:cs="Arial"/>
          <w:i/>
          <w:iCs/>
          <w:noProof/>
          <w:szCs w:val="24"/>
        </w:rPr>
        <w:t>15</w:t>
      </w:r>
      <w:r w:rsidRPr="00235DC6">
        <w:rPr>
          <w:rFonts w:ascii="Arial" w:hAnsi="Arial" w:cs="Arial"/>
          <w:noProof/>
          <w:szCs w:val="24"/>
        </w:rPr>
        <w:t>(4), 5–13. https://doi.org/10.15722/jds.15.4.201704.5</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Li, J., Wang, B., &amp; Guo, H. (2017). Private Equity Characteristic Earning Management &amp; Firm Value. </w:t>
      </w:r>
      <w:r w:rsidRPr="00235DC6">
        <w:rPr>
          <w:rFonts w:ascii="Arial" w:hAnsi="Arial" w:cs="Arial"/>
          <w:i/>
          <w:iCs/>
          <w:noProof/>
          <w:szCs w:val="24"/>
        </w:rPr>
        <w:t>International Review of Accounting, Banking &amp; Finance</w:t>
      </w:r>
      <w:r w:rsidRPr="00235DC6">
        <w:rPr>
          <w:rFonts w:ascii="Arial" w:hAnsi="Arial" w:cs="Arial"/>
          <w:noProof/>
          <w:szCs w:val="24"/>
        </w:rPr>
        <w:t xml:space="preserve">, </w:t>
      </w:r>
      <w:r w:rsidRPr="00235DC6">
        <w:rPr>
          <w:rFonts w:ascii="Arial" w:hAnsi="Arial" w:cs="Arial"/>
          <w:i/>
          <w:iCs/>
          <w:noProof/>
          <w:szCs w:val="24"/>
        </w:rPr>
        <w:t>9</w:t>
      </w:r>
      <w:r w:rsidRPr="00235DC6">
        <w:rPr>
          <w:rFonts w:ascii="Arial" w:hAnsi="Arial" w:cs="Arial"/>
          <w:noProof/>
          <w:szCs w:val="24"/>
        </w:rPr>
        <w:t>(1).</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Nurhayati, M. (2013). Profitabiltas, Likuiditas dan Ukuran Perusahaan Pengaruhnya Terhadap Kebijakan Deviden dan Nilai Perusahaan Sektor Non Jasa. </w:t>
      </w:r>
      <w:r w:rsidRPr="00235DC6">
        <w:rPr>
          <w:rFonts w:ascii="Arial" w:hAnsi="Arial" w:cs="Arial"/>
          <w:i/>
          <w:iCs/>
          <w:noProof/>
          <w:szCs w:val="24"/>
        </w:rPr>
        <w:t>Jurnal Keuangan &amp; Bisnis Program Studi Magister Manajemen Sekolah Tinggi Ilmu Ekonomi Harapan</w:t>
      </w:r>
      <w:r w:rsidRPr="00235DC6">
        <w:rPr>
          <w:rFonts w:ascii="Arial" w:hAnsi="Arial" w:cs="Arial"/>
          <w:noProof/>
          <w:szCs w:val="24"/>
        </w:rPr>
        <w:t xml:space="preserve">, </w:t>
      </w:r>
      <w:r w:rsidRPr="00235DC6">
        <w:rPr>
          <w:rFonts w:ascii="Arial" w:hAnsi="Arial" w:cs="Arial"/>
          <w:i/>
          <w:iCs/>
          <w:noProof/>
          <w:szCs w:val="24"/>
        </w:rPr>
        <w:t>5</w:t>
      </w:r>
      <w:r w:rsidRPr="00235DC6">
        <w:rPr>
          <w:rFonts w:ascii="Arial" w:hAnsi="Arial" w:cs="Arial"/>
          <w:noProof/>
          <w:szCs w:val="24"/>
        </w:rPr>
        <w:t>(2), 144–153.</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Sari, R. A. I., &amp; Priyadi, M. P. (2016). Pengaruh Leverage, Profitabilitas, Size dan Growth Opportunity terhadap Nilai Perusahaan. </w:t>
      </w:r>
      <w:r w:rsidRPr="00235DC6">
        <w:rPr>
          <w:rFonts w:ascii="Arial" w:hAnsi="Arial" w:cs="Arial"/>
          <w:i/>
          <w:iCs/>
          <w:noProof/>
          <w:szCs w:val="24"/>
        </w:rPr>
        <w:t>Journal Ilmu Dan Riset Manajemen</w:t>
      </w:r>
      <w:r w:rsidRPr="00235DC6">
        <w:rPr>
          <w:rFonts w:ascii="Arial" w:hAnsi="Arial" w:cs="Arial"/>
          <w:noProof/>
          <w:szCs w:val="24"/>
        </w:rPr>
        <w:t xml:space="preserve">, </w:t>
      </w:r>
      <w:r w:rsidRPr="00235DC6">
        <w:rPr>
          <w:rFonts w:ascii="Arial" w:hAnsi="Arial" w:cs="Arial"/>
          <w:i/>
          <w:iCs/>
          <w:noProof/>
          <w:szCs w:val="24"/>
        </w:rPr>
        <w:t>5</w:t>
      </w:r>
      <w:r w:rsidRPr="00235DC6">
        <w:rPr>
          <w:rFonts w:ascii="Arial" w:hAnsi="Arial" w:cs="Arial"/>
          <w:noProof/>
          <w:szCs w:val="24"/>
        </w:rPr>
        <w:t>.</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Subanidja, S., Rahman, A., &amp; Astuti, A. D. (2016). Pengaruh Kepemilikkan Keluarga terhadap Kinerja Perusahaan dengan Agency Cost sebagai variabel Moderating. </w:t>
      </w:r>
      <w:r w:rsidRPr="00235DC6">
        <w:rPr>
          <w:rFonts w:ascii="Arial" w:hAnsi="Arial" w:cs="Arial"/>
          <w:i/>
          <w:iCs/>
          <w:noProof/>
          <w:szCs w:val="24"/>
        </w:rPr>
        <w:t>Jurnal Dinamika Akuntansi</w:t>
      </w:r>
      <w:r w:rsidRPr="00235DC6">
        <w:rPr>
          <w:rFonts w:ascii="Arial" w:hAnsi="Arial" w:cs="Arial"/>
          <w:noProof/>
          <w:szCs w:val="24"/>
        </w:rPr>
        <w:t xml:space="preserve">, </w:t>
      </w:r>
      <w:r w:rsidRPr="00235DC6">
        <w:rPr>
          <w:rFonts w:ascii="Arial" w:hAnsi="Arial" w:cs="Arial"/>
          <w:i/>
          <w:iCs/>
          <w:noProof/>
          <w:szCs w:val="24"/>
        </w:rPr>
        <w:t>7</w:t>
      </w:r>
      <w:r w:rsidRPr="00235DC6">
        <w:rPr>
          <w:rFonts w:ascii="Arial" w:hAnsi="Arial" w:cs="Arial"/>
          <w:noProof/>
          <w:szCs w:val="24"/>
        </w:rPr>
        <w:t>(2).</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Suffian, M. T., Mohd, M. S., &amp; Mastuki, N. (2015). Real earning management and firm value: Empirical evidence from Malaysia. </w:t>
      </w:r>
      <w:r w:rsidRPr="00235DC6">
        <w:rPr>
          <w:rFonts w:ascii="Arial" w:hAnsi="Arial" w:cs="Arial"/>
          <w:i/>
          <w:iCs/>
          <w:noProof/>
          <w:szCs w:val="24"/>
        </w:rPr>
        <w:t>Malaysian Accounting Review</w:t>
      </w:r>
      <w:r w:rsidRPr="00235DC6">
        <w:rPr>
          <w:rFonts w:ascii="Arial" w:hAnsi="Arial" w:cs="Arial"/>
          <w:noProof/>
          <w:szCs w:val="24"/>
        </w:rPr>
        <w:t xml:space="preserve">, </w:t>
      </w:r>
      <w:r w:rsidRPr="00235DC6">
        <w:rPr>
          <w:rFonts w:ascii="Arial" w:hAnsi="Arial" w:cs="Arial"/>
          <w:i/>
          <w:iCs/>
          <w:noProof/>
          <w:szCs w:val="24"/>
        </w:rPr>
        <w:t>14</w:t>
      </w:r>
      <w:r w:rsidRPr="00235DC6">
        <w:rPr>
          <w:rFonts w:ascii="Arial" w:hAnsi="Arial" w:cs="Arial"/>
          <w:noProof/>
          <w:szCs w:val="24"/>
        </w:rPr>
        <w:t>(1), 26–47.</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Suprianto, E., &amp; Setiawan, D. (2018). Impact of Family control on the relationship between earning management and future performance in Indonesia. </w:t>
      </w:r>
      <w:r w:rsidRPr="00235DC6">
        <w:rPr>
          <w:rFonts w:ascii="Arial" w:hAnsi="Arial" w:cs="Arial"/>
          <w:i/>
          <w:iCs/>
          <w:noProof/>
          <w:szCs w:val="24"/>
        </w:rPr>
        <w:t>Business and Economic Horizons</w:t>
      </w:r>
      <w:r w:rsidRPr="00235DC6">
        <w:rPr>
          <w:rFonts w:ascii="Arial" w:hAnsi="Arial" w:cs="Arial"/>
          <w:noProof/>
          <w:szCs w:val="24"/>
        </w:rPr>
        <w:t xml:space="preserve">, </w:t>
      </w:r>
      <w:r w:rsidRPr="00235DC6">
        <w:rPr>
          <w:rFonts w:ascii="Arial" w:hAnsi="Arial" w:cs="Arial"/>
          <w:i/>
          <w:iCs/>
          <w:noProof/>
          <w:szCs w:val="24"/>
        </w:rPr>
        <w:t>14</w:t>
      </w:r>
      <w:r w:rsidRPr="00235DC6">
        <w:rPr>
          <w:rFonts w:ascii="Arial" w:hAnsi="Arial" w:cs="Arial"/>
          <w:noProof/>
          <w:szCs w:val="24"/>
        </w:rPr>
        <w:t>(2), 342–354. https://doi.org/10.15208/beh.2018.25</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szCs w:val="24"/>
        </w:rPr>
      </w:pPr>
      <w:r w:rsidRPr="00235DC6">
        <w:rPr>
          <w:rFonts w:ascii="Arial" w:hAnsi="Arial" w:cs="Arial"/>
          <w:noProof/>
          <w:szCs w:val="24"/>
        </w:rPr>
        <w:t xml:space="preserve">Tandry, A. Y., Setiawati, L., &amp; Setiawan, E. (2014). The effect of CSR disclousure to firm value with earning management as moderating variable: case study of non-financing firms listed at Indonesia Stock Exchange. </w:t>
      </w:r>
      <w:r w:rsidRPr="00235DC6">
        <w:rPr>
          <w:rFonts w:ascii="Arial" w:hAnsi="Arial" w:cs="Arial"/>
          <w:i/>
          <w:iCs/>
          <w:noProof/>
          <w:szCs w:val="24"/>
        </w:rPr>
        <w:t>International Journal of Trade and Global Markets</w:t>
      </w:r>
      <w:r w:rsidRPr="00235DC6">
        <w:rPr>
          <w:rFonts w:ascii="Arial" w:hAnsi="Arial" w:cs="Arial"/>
          <w:noProof/>
          <w:szCs w:val="24"/>
        </w:rPr>
        <w:t xml:space="preserve">, </w:t>
      </w:r>
      <w:r w:rsidRPr="00235DC6">
        <w:rPr>
          <w:rFonts w:ascii="Arial" w:hAnsi="Arial" w:cs="Arial"/>
          <w:i/>
          <w:iCs/>
          <w:noProof/>
          <w:szCs w:val="24"/>
        </w:rPr>
        <w:t>7</w:t>
      </w:r>
      <w:r w:rsidRPr="00235DC6">
        <w:rPr>
          <w:rFonts w:ascii="Arial" w:hAnsi="Arial" w:cs="Arial"/>
          <w:noProof/>
          <w:szCs w:val="24"/>
        </w:rPr>
        <w:t>(3), 190–204.</w:t>
      </w:r>
    </w:p>
    <w:p w:rsidR="00235DC6" w:rsidRPr="00235DC6" w:rsidRDefault="00235DC6" w:rsidP="00235DC6">
      <w:pPr>
        <w:widowControl w:val="0"/>
        <w:autoSpaceDE w:val="0"/>
        <w:autoSpaceDN w:val="0"/>
        <w:adjustRightInd w:val="0"/>
        <w:spacing w:after="0" w:line="240" w:lineRule="auto"/>
        <w:ind w:left="480" w:hanging="480"/>
        <w:jc w:val="both"/>
        <w:rPr>
          <w:rFonts w:ascii="Arial" w:hAnsi="Arial" w:cs="Arial"/>
          <w:noProof/>
        </w:rPr>
      </w:pPr>
      <w:r w:rsidRPr="00235DC6">
        <w:rPr>
          <w:rFonts w:ascii="Arial" w:hAnsi="Arial" w:cs="Arial"/>
          <w:noProof/>
          <w:szCs w:val="24"/>
        </w:rPr>
        <w:t xml:space="preserve">Yorke, S. M., Amidu, M., &amp; Agyemin-Boateng, C. (2016). The effects of earning management and corporate tax avoidance on firm value. </w:t>
      </w:r>
      <w:r w:rsidRPr="00235DC6">
        <w:rPr>
          <w:rFonts w:ascii="Arial" w:hAnsi="Arial" w:cs="Arial"/>
          <w:i/>
          <w:iCs/>
          <w:noProof/>
          <w:szCs w:val="24"/>
        </w:rPr>
        <w:t>International Journal of Management Practices</w:t>
      </w:r>
      <w:r w:rsidRPr="00235DC6">
        <w:rPr>
          <w:rFonts w:ascii="Arial" w:hAnsi="Arial" w:cs="Arial"/>
          <w:noProof/>
          <w:szCs w:val="24"/>
        </w:rPr>
        <w:t xml:space="preserve">, </w:t>
      </w:r>
      <w:r w:rsidRPr="00235DC6">
        <w:rPr>
          <w:rFonts w:ascii="Arial" w:hAnsi="Arial" w:cs="Arial"/>
          <w:i/>
          <w:iCs/>
          <w:noProof/>
          <w:szCs w:val="24"/>
        </w:rPr>
        <w:t>9</w:t>
      </w:r>
      <w:r w:rsidRPr="00235DC6">
        <w:rPr>
          <w:rFonts w:ascii="Arial" w:hAnsi="Arial" w:cs="Arial"/>
          <w:noProof/>
          <w:szCs w:val="24"/>
        </w:rPr>
        <w:t>(2), 112–131.</w:t>
      </w:r>
    </w:p>
    <w:p w:rsidR="002200A4" w:rsidRDefault="00235DC6" w:rsidP="00235DC6">
      <w:pPr>
        <w:widowControl w:val="0"/>
        <w:autoSpaceDE w:val="0"/>
        <w:autoSpaceDN w:val="0"/>
        <w:adjustRightInd w:val="0"/>
        <w:spacing w:after="0" w:line="240" w:lineRule="auto"/>
        <w:ind w:left="480" w:hanging="480"/>
        <w:jc w:val="both"/>
        <w:rPr>
          <w:rFonts w:ascii="Arial" w:hAnsi="Arial" w:cs="Arial"/>
          <w:b/>
        </w:rPr>
      </w:pPr>
      <w:r>
        <w:rPr>
          <w:rFonts w:ascii="Arial" w:hAnsi="Arial" w:cs="Arial"/>
          <w:b/>
        </w:rPr>
        <w:fldChar w:fldCharType="end"/>
      </w:r>
    </w:p>
    <w:sectPr w:rsidR="002200A4" w:rsidSect="00F01F54">
      <w:type w:val="continuous"/>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3D" w:rsidRDefault="00BB373D">
      <w:pPr>
        <w:spacing w:after="0" w:line="240" w:lineRule="auto"/>
      </w:pPr>
      <w:r>
        <w:separator/>
      </w:r>
    </w:p>
  </w:endnote>
  <w:endnote w:type="continuationSeparator" w:id="0">
    <w:p w:rsidR="00BB373D" w:rsidRDefault="00BB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3D" w:rsidRDefault="00BB373D">
      <w:pPr>
        <w:spacing w:after="0" w:line="240" w:lineRule="auto"/>
      </w:pPr>
      <w:r>
        <w:separator/>
      </w:r>
    </w:p>
  </w:footnote>
  <w:footnote w:type="continuationSeparator" w:id="0">
    <w:p w:rsidR="00BB373D" w:rsidRDefault="00BB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A4" w:rsidRPr="004D761B" w:rsidRDefault="002200A4" w:rsidP="00656FC3">
    <w:pPr>
      <w:pStyle w:val="Header"/>
      <w:rPr>
        <w:rFonts w:ascii="Arial" w:hAnsi="Arial" w:cs="Arial"/>
        <w:sz w:val="18"/>
        <w:szCs w:val="18"/>
      </w:rPr>
    </w:pPr>
    <w:r w:rsidRPr="004D761B">
      <w:rPr>
        <w:rFonts w:ascii="Arial" w:hAnsi="Arial" w:cs="Arial"/>
        <w:sz w:val="18"/>
        <w:szCs w:val="18"/>
      </w:rPr>
      <w:fldChar w:fldCharType="begin"/>
    </w:r>
    <w:r w:rsidRPr="003C4498">
      <w:rPr>
        <w:rFonts w:ascii="Arial" w:hAnsi="Arial" w:cs="Arial"/>
        <w:sz w:val="18"/>
        <w:szCs w:val="18"/>
      </w:rPr>
      <w:instrText xml:space="preserve"> PAGE   \* MERGEFORMAT </w:instrText>
    </w:r>
    <w:r w:rsidRPr="004D761B">
      <w:rPr>
        <w:rFonts w:ascii="Arial" w:hAnsi="Arial" w:cs="Arial"/>
        <w:sz w:val="18"/>
        <w:szCs w:val="18"/>
      </w:rPr>
      <w:fldChar w:fldCharType="separate"/>
    </w:r>
    <w:r>
      <w:rPr>
        <w:rFonts w:ascii="Arial" w:hAnsi="Arial" w:cs="Arial"/>
        <w:noProof/>
        <w:sz w:val="18"/>
        <w:szCs w:val="18"/>
      </w:rPr>
      <w:t>4</w:t>
    </w:r>
    <w:r w:rsidRPr="004D761B">
      <w:rPr>
        <w:rFonts w:ascii="Arial" w:hAnsi="Arial" w:cs="Arial"/>
        <w:noProof/>
        <w:sz w:val="18"/>
        <w:szCs w:val="18"/>
      </w:rPr>
      <w:fldChar w:fldCharType="end"/>
    </w:r>
    <w:r w:rsidRPr="004D761B">
      <w:rPr>
        <w:rFonts w:ascii="Arial" w:hAnsi="Arial" w:cs="Arial"/>
        <w:noProof/>
        <w:sz w:val="18"/>
        <w:szCs w:val="18"/>
      </w:rPr>
      <w:t xml:space="preserve">  Jurnal Pamator Vol. A, No. B, Bulan YYYY, hlm. 1-X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A4" w:rsidRPr="00F2723B" w:rsidRDefault="002200A4" w:rsidP="00656FC3">
    <w:pPr>
      <w:pStyle w:val="Header"/>
      <w:tabs>
        <w:tab w:val="left" w:pos="5191"/>
        <w:tab w:val="right" w:pos="8645"/>
      </w:tabs>
      <w:rPr>
        <w:rFonts w:ascii="Arial" w:hAnsi="Arial" w:cs="Arial"/>
      </w:rPr>
    </w:pPr>
    <w:r>
      <w:rPr>
        <w:rFonts w:ascii="Arial" w:hAnsi="Arial" w:cs="Arial"/>
        <w:sz w:val="18"/>
        <w:szCs w:val="18"/>
        <w:lang w:val="id-ID"/>
      </w:rPr>
      <w:tab/>
    </w:r>
    <w:r>
      <w:rPr>
        <w:rFonts w:ascii="Arial" w:hAnsi="Arial" w:cs="Arial"/>
        <w:sz w:val="18"/>
        <w:szCs w:val="18"/>
        <w:lang w:val="id-ID"/>
      </w:rPr>
      <w:tab/>
    </w:r>
    <w:r>
      <w:rPr>
        <w:rFonts w:ascii="Arial" w:hAnsi="Arial" w:cs="Arial"/>
        <w:sz w:val="18"/>
        <w:szCs w:val="18"/>
        <w:lang w:val="id-ID"/>
      </w:rPr>
      <w:tab/>
    </w:r>
    <w:r w:rsidRPr="00F2723B">
      <w:rPr>
        <w:rFonts w:ascii="Arial" w:hAnsi="Arial" w:cs="Arial"/>
        <w:sz w:val="18"/>
        <w:szCs w:val="18"/>
        <w:lang w:val="id-ID"/>
      </w:rPr>
      <w:t>Penulis</w:t>
    </w:r>
    <w:r w:rsidRPr="00F2723B">
      <w:rPr>
        <w:rFonts w:ascii="Arial" w:hAnsi="Arial" w:cs="Arial"/>
        <w:sz w:val="18"/>
        <w:szCs w:val="18"/>
      </w:rPr>
      <w:t xml:space="preserve">, </w:t>
    </w:r>
    <w:r w:rsidRPr="00F2723B">
      <w:rPr>
        <w:rFonts w:ascii="Arial" w:hAnsi="Arial" w:cs="Arial"/>
        <w:sz w:val="18"/>
        <w:szCs w:val="18"/>
        <w:lang w:val="id-ID"/>
      </w:rPr>
      <w:t>Judul Artikel</w:t>
    </w:r>
    <w:r w:rsidRPr="00F2723B">
      <w:rPr>
        <w:rFonts w:ascii="Arial" w:hAnsi="Arial" w:cs="Arial"/>
        <w:i/>
        <w:sz w:val="18"/>
        <w:szCs w:val="18"/>
        <w:lang w:val="sv-SE"/>
      </w:rPr>
      <w:t>…</w:t>
    </w:r>
    <w:r w:rsidRPr="00F2723B">
      <w:rPr>
        <w:rFonts w:ascii="Arial" w:hAnsi="Arial" w:cs="Arial"/>
        <w:b/>
        <w:sz w:val="18"/>
        <w:szCs w:val="18"/>
      </w:rPr>
      <w:fldChar w:fldCharType="begin"/>
    </w:r>
    <w:r w:rsidRPr="003C4498">
      <w:rPr>
        <w:rFonts w:ascii="Arial" w:hAnsi="Arial" w:cs="Arial"/>
        <w:b/>
        <w:sz w:val="18"/>
        <w:szCs w:val="18"/>
      </w:rPr>
      <w:instrText xml:space="preserve"> PAGE   \* MERGEFORMAT </w:instrText>
    </w:r>
    <w:r w:rsidRPr="00F2723B">
      <w:rPr>
        <w:rFonts w:ascii="Arial" w:hAnsi="Arial" w:cs="Arial"/>
        <w:b/>
        <w:sz w:val="18"/>
        <w:szCs w:val="18"/>
      </w:rPr>
      <w:fldChar w:fldCharType="separate"/>
    </w:r>
    <w:r w:rsidR="00824804">
      <w:rPr>
        <w:rFonts w:ascii="Arial" w:hAnsi="Arial" w:cs="Arial"/>
        <w:b/>
        <w:noProof/>
        <w:sz w:val="18"/>
        <w:szCs w:val="18"/>
      </w:rPr>
      <w:t>7</w:t>
    </w:r>
    <w:r w:rsidRPr="00F2723B">
      <w:rPr>
        <w:rFonts w:ascii="Arial" w:hAnsi="Arial" w:cs="Arial"/>
        <w:b/>
        <w:noProof/>
        <w:sz w:val="18"/>
        <w:szCs w:val="18"/>
      </w:rPr>
      <w:fldChar w:fldCharType="end"/>
    </w:r>
  </w:p>
  <w:p w:rsidR="002200A4" w:rsidRDefault="00220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A4" w:rsidRDefault="002200A4" w:rsidP="00656FC3">
    <w:pPr>
      <w:pStyle w:val="Header"/>
      <w:tabs>
        <w:tab w:val="clear" w:pos="4513"/>
        <w:tab w:val="clear" w:pos="9026"/>
      </w:tabs>
      <w:jc w:val="right"/>
      <w:rPr>
        <w:rFonts w:ascii="Times New Roman" w:hAnsi="Times New Roman"/>
        <w:b/>
        <w:sz w:val="20"/>
        <w:szCs w:val="20"/>
        <w:lang w:val="id-ID"/>
      </w:rPr>
    </w:pPr>
    <w:r>
      <w:rPr>
        <w:noProof/>
      </w:rPr>
      <w:drawing>
        <wp:anchor distT="0" distB="0" distL="114300" distR="114300" simplePos="0" relativeHeight="251659264" behindDoc="1" locked="0" layoutInCell="1" allowOverlap="1">
          <wp:simplePos x="0" y="0"/>
          <wp:positionH relativeFrom="column">
            <wp:posOffset>10795</wp:posOffset>
          </wp:positionH>
          <wp:positionV relativeFrom="paragraph">
            <wp:align>center</wp:align>
          </wp:positionV>
          <wp:extent cx="1482090" cy="445135"/>
          <wp:effectExtent l="0" t="0" r="3810" b="0"/>
          <wp:wrapNone/>
          <wp:docPr id="3" name="Picture 3" descr="PAM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MA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i/>
        <w:sz w:val="20"/>
        <w:szCs w:val="20"/>
        <w:lang w:val="id-ID"/>
      </w:rPr>
      <w:tab/>
    </w:r>
    <w:r>
      <w:rPr>
        <w:rFonts w:ascii="Times New Roman" w:hAnsi="Times New Roman"/>
        <w:b/>
        <w:sz w:val="20"/>
        <w:szCs w:val="20"/>
        <w:lang w:val="id-ID"/>
      </w:rPr>
      <w:t>Volume A, No. B, Bulan YYYY Hlm. XX-CC</w:t>
    </w:r>
  </w:p>
  <w:p w:rsidR="002200A4" w:rsidRPr="00524E03" w:rsidRDefault="002200A4" w:rsidP="00656FC3">
    <w:pPr>
      <w:pStyle w:val="Header"/>
      <w:tabs>
        <w:tab w:val="clear" w:pos="4513"/>
        <w:tab w:val="clear" w:pos="9026"/>
        <w:tab w:val="right" w:pos="8647"/>
      </w:tabs>
      <w:jc w:val="right"/>
      <w:rPr>
        <w:rFonts w:ascii="Times New Roman" w:hAnsi="Times New Roman"/>
        <w:b/>
        <w:sz w:val="20"/>
        <w:szCs w:val="20"/>
        <w:lang w:val="id-ID"/>
      </w:rPr>
    </w:pPr>
    <w:r>
      <w:rPr>
        <w:rFonts w:ascii="Times New Roman" w:hAnsi="Times New Roman"/>
        <w:b/>
        <w:sz w:val="20"/>
        <w:szCs w:val="20"/>
        <w:lang w:val="id-ID"/>
      </w:rPr>
      <w:t>http://journal.trunojoyo.ac.id/pamator</w:t>
    </w:r>
  </w:p>
  <w:p w:rsidR="002200A4" w:rsidRPr="00E31C58" w:rsidRDefault="002200A4" w:rsidP="00656FC3">
    <w:pPr>
      <w:jc w:val="right"/>
      <w:rPr>
        <w:rFonts w:ascii="Times New Roman" w:hAnsi="Times New Roman"/>
        <w:b/>
        <w:sz w:val="20"/>
        <w:szCs w:val="20"/>
        <w:lang w:val="id-ID"/>
      </w:rPr>
    </w:pPr>
    <w:r w:rsidRPr="00A85AA4">
      <w:rPr>
        <w:lang w:val="id-ID"/>
      </w:rPr>
      <w:tab/>
    </w:r>
    <w:r w:rsidRPr="00A85AA4">
      <w:rPr>
        <w:lang w:val="id-ID"/>
      </w:rPr>
      <w:tab/>
    </w:r>
    <w:r w:rsidRPr="00A85AA4">
      <w:rPr>
        <w:lang w:val="id-ID"/>
      </w:rPr>
      <w:tab/>
    </w:r>
    <w:r w:rsidRPr="00A85AA4">
      <w:rPr>
        <w:lang w:val="id-ID"/>
      </w:rPr>
      <w:tab/>
    </w:r>
    <w:r>
      <w:rPr>
        <w:rFonts w:ascii="Times New Roman" w:hAnsi="Times New Roman"/>
        <w:b/>
        <w:sz w:val="20"/>
        <w:szCs w:val="20"/>
        <w:lang w:val="id-ID"/>
      </w:rPr>
      <w:t>I</w:t>
    </w:r>
    <w:r w:rsidRPr="00A85AA4">
      <w:rPr>
        <w:rFonts w:ascii="Times New Roman" w:hAnsi="Times New Roman"/>
        <w:b/>
        <w:sz w:val="20"/>
        <w:szCs w:val="20"/>
        <w:lang w:val="id-ID"/>
      </w:rPr>
      <w:t xml:space="preserve">SSN: </w:t>
    </w:r>
    <w:r>
      <w:rPr>
        <w:rFonts w:ascii="Times New Roman" w:hAnsi="Times New Roman"/>
        <w:b/>
        <w:sz w:val="20"/>
        <w:szCs w:val="20"/>
        <w:lang w:val="id-ID"/>
      </w:rPr>
      <w:t>1829-7935</w:t>
    </w:r>
  </w:p>
  <w:p w:rsidR="002200A4" w:rsidRDefault="00220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D4AE4"/>
    <w:multiLevelType w:val="hybridMultilevel"/>
    <w:tmpl w:val="3DE03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44"/>
    <w:rsid w:val="00020F1E"/>
    <w:rsid w:val="00075DE3"/>
    <w:rsid w:val="000B676E"/>
    <w:rsid w:val="00155BAA"/>
    <w:rsid w:val="00202656"/>
    <w:rsid w:val="002112B2"/>
    <w:rsid w:val="002200A4"/>
    <w:rsid w:val="00232E68"/>
    <w:rsid w:val="00235DC6"/>
    <w:rsid w:val="002B2AAB"/>
    <w:rsid w:val="002C6562"/>
    <w:rsid w:val="00342E03"/>
    <w:rsid w:val="00355078"/>
    <w:rsid w:val="003C3508"/>
    <w:rsid w:val="004702B3"/>
    <w:rsid w:val="004E7896"/>
    <w:rsid w:val="00532721"/>
    <w:rsid w:val="005D6AD6"/>
    <w:rsid w:val="00656FC3"/>
    <w:rsid w:val="006747DF"/>
    <w:rsid w:val="006D716B"/>
    <w:rsid w:val="006D7871"/>
    <w:rsid w:val="006F1755"/>
    <w:rsid w:val="007B559F"/>
    <w:rsid w:val="007B604E"/>
    <w:rsid w:val="007C70F6"/>
    <w:rsid w:val="00824804"/>
    <w:rsid w:val="00890EBB"/>
    <w:rsid w:val="008D78CE"/>
    <w:rsid w:val="00935940"/>
    <w:rsid w:val="00977468"/>
    <w:rsid w:val="009A6744"/>
    <w:rsid w:val="009B47E9"/>
    <w:rsid w:val="00A31903"/>
    <w:rsid w:val="00A467B6"/>
    <w:rsid w:val="00A92BD8"/>
    <w:rsid w:val="00B75917"/>
    <w:rsid w:val="00BB373D"/>
    <w:rsid w:val="00BB6D9B"/>
    <w:rsid w:val="00BC1960"/>
    <w:rsid w:val="00DE6E63"/>
    <w:rsid w:val="00DF556B"/>
    <w:rsid w:val="00EB56CD"/>
    <w:rsid w:val="00ED52AD"/>
    <w:rsid w:val="00EF1723"/>
    <w:rsid w:val="00F01F54"/>
    <w:rsid w:val="00FD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1CA73E-A2BD-4016-BBBC-3C8EB98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74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44"/>
    <w:rPr>
      <w:rFonts w:ascii="Calibri" w:eastAsia="Calibri" w:hAnsi="Calibri" w:cs="Times New Roman"/>
    </w:rPr>
  </w:style>
  <w:style w:type="paragraph" w:customStyle="1" w:styleId="SAP-Affiliation">
    <w:name w:val="SAP-Affiliation"/>
    <w:basedOn w:val="Normal"/>
    <w:qFormat/>
    <w:rsid w:val="009A6744"/>
    <w:pPr>
      <w:spacing w:after="0" w:line="200" w:lineRule="exact"/>
      <w:jc w:val="center"/>
    </w:pPr>
    <w:rPr>
      <w:rFonts w:ascii="Times New Roman" w:eastAsia="SimSun" w:hAnsi="Times New Roman"/>
      <w:kern w:val="2"/>
      <w:sz w:val="18"/>
      <w:szCs w:val="18"/>
      <w:lang w:eastAsia="zh-CN"/>
    </w:rPr>
  </w:style>
  <w:style w:type="paragraph" w:customStyle="1" w:styleId="SAP-Author">
    <w:name w:val="SAP-Author"/>
    <w:qFormat/>
    <w:rsid w:val="009A6744"/>
    <w:pPr>
      <w:spacing w:before="340" w:after="340" w:line="240" w:lineRule="auto"/>
      <w:jc w:val="center"/>
    </w:pPr>
    <w:rPr>
      <w:rFonts w:ascii="Times New Roman" w:eastAsia="Times New Roman" w:hAnsi="Times New Roman" w:cs="Times New Roman"/>
      <w:b/>
      <w:noProof/>
    </w:rPr>
  </w:style>
  <w:style w:type="character" w:styleId="PlaceholderText">
    <w:name w:val="Placeholder Text"/>
    <w:basedOn w:val="DefaultParagraphFont"/>
    <w:uiPriority w:val="99"/>
    <w:semiHidden/>
    <w:rsid w:val="00935940"/>
    <w:rPr>
      <w:color w:val="808080"/>
    </w:rPr>
  </w:style>
  <w:style w:type="paragraph" w:styleId="ListParagraph">
    <w:name w:val="List Paragraph"/>
    <w:basedOn w:val="Normal"/>
    <w:uiPriority w:val="34"/>
    <w:qFormat/>
    <w:rsid w:val="00FD1B8E"/>
    <w:pPr>
      <w:ind w:left="720"/>
      <w:contextualSpacing/>
    </w:pPr>
  </w:style>
  <w:style w:type="table" w:styleId="TableGrid">
    <w:name w:val="Table Grid"/>
    <w:basedOn w:val="TableNormal"/>
    <w:uiPriority w:val="39"/>
    <w:rsid w:val="00ED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1F54"/>
    <w:rPr>
      <w:color w:val="0563C1" w:themeColor="hyperlink"/>
      <w:u w:val="single"/>
    </w:rPr>
  </w:style>
  <w:style w:type="character" w:styleId="Emphasis">
    <w:name w:val="Emphasis"/>
    <w:basedOn w:val="DefaultParagraphFont"/>
    <w:uiPriority w:val="20"/>
    <w:qFormat/>
    <w:rsid w:val="008248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nomy.okezone.com/read/2016/01/27/27/1298264/direksi-timah-dituding-manipulasi-laporan-keuangan"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94088-1F42-4949-92EF-47D26BC9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5649</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2020-03-22T02:16:00Z</dcterms:created>
  <dcterms:modified xsi:type="dcterms:W3CDTF">2020-03-26T07:33:00Z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f7cfc0f2-0895-31b5-835a-1a669b7ebc2a</vt:lpwstr>
  </property>
  <property fmtid="{D5CDD505-2E9C-101B-9397-08002B2CF9AE}" pid="24" name="Mendeley Citation Style_1">
    <vt:lpwstr>http://www.zotero.org/styles/apa</vt:lpwstr>
  </property>
</Properties>
</file>