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DB" w:rsidRDefault="009A3DB7" w:rsidP="00BF20B3">
      <w:pPr>
        <w:spacing w:after="0"/>
        <w:jc w:val="center"/>
        <w:rPr>
          <w:rFonts w:ascii="Arial Narrow" w:hAnsi="Arial Narrow"/>
          <w:b/>
          <w:bCs/>
          <w:sz w:val="28"/>
          <w:szCs w:val="28"/>
        </w:rPr>
      </w:pPr>
      <w:r>
        <w:rPr>
          <w:rFonts w:ascii="Arial Narrow" w:hAnsi="Arial Narrow"/>
          <w:b/>
          <w:bCs/>
          <w:sz w:val="28"/>
          <w:szCs w:val="28"/>
        </w:rPr>
        <w:t>ANALISA KADAR MAGNESIUM (Mg) PADA AIR BAHAN BAKU GARAM DI PT. GARAM PERSERO PAMEKASAN</w:t>
      </w:r>
    </w:p>
    <w:p w:rsidR="00BF20B3" w:rsidRPr="00BF20B3" w:rsidRDefault="00BF20B3" w:rsidP="00BF20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Narrow" w:eastAsia="Times New Roman" w:hAnsi="Arial Narrow" w:cs="Courier New"/>
          <w:b/>
          <w:bCs/>
          <w:color w:val="202124"/>
          <w:sz w:val="28"/>
          <w:szCs w:val="28"/>
        </w:rPr>
      </w:pPr>
      <w:r w:rsidRPr="00BF20B3">
        <w:rPr>
          <w:rFonts w:ascii="Arial Narrow" w:eastAsia="Times New Roman" w:hAnsi="Arial Narrow" w:cs="Courier New"/>
          <w:b/>
          <w:bCs/>
          <w:color w:val="202124"/>
          <w:sz w:val="28"/>
          <w:szCs w:val="28"/>
          <w:lang w:val="en"/>
        </w:rPr>
        <w:t>ANALYSIS OF MAGNESIUM (Mg) LEVELS IN WATER RAW MATERIAL SALT IN PT. SALT PERSERO PAMEKASAN</w:t>
      </w:r>
    </w:p>
    <w:p w:rsidR="00BF20B3" w:rsidRDefault="00BF20B3" w:rsidP="00BF20B3">
      <w:pPr>
        <w:rPr>
          <w:rFonts w:ascii="Arial Narrow" w:hAnsi="Arial Narrow"/>
          <w:b/>
          <w:bCs/>
          <w:sz w:val="28"/>
          <w:szCs w:val="28"/>
        </w:rPr>
      </w:pPr>
    </w:p>
    <w:p w:rsidR="009A3DB7" w:rsidRPr="00176873" w:rsidRDefault="009A3DB7" w:rsidP="009A3DB7">
      <w:pPr>
        <w:jc w:val="center"/>
        <w:rPr>
          <w:rFonts w:asciiTheme="minorBidi" w:hAnsiTheme="minorBidi"/>
          <w:b/>
          <w:bCs/>
          <w:sz w:val="20"/>
          <w:szCs w:val="20"/>
          <w:vertAlign w:val="superscript"/>
        </w:rPr>
      </w:pPr>
      <w:r w:rsidRPr="00253776">
        <w:rPr>
          <w:rFonts w:asciiTheme="minorBidi" w:hAnsiTheme="minorBidi"/>
          <w:b/>
          <w:bCs/>
          <w:sz w:val="20"/>
          <w:szCs w:val="20"/>
        </w:rPr>
        <w:t>Nurul Khodariya</w:t>
      </w:r>
      <w:r w:rsidR="00624214">
        <w:rPr>
          <w:rFonts w:asciiTheme="minorBidi" w:hAnsiTheme="minorBidi"/>
          <w:b/>
          <w:bCs/>
          <w:sz w:val="20"/>
          <w:szCs w:val="20"/>
          <w:vertAlign w:val="superscript"/>
        </w:rPr>
        <w:t>*</w:t>
      </w:r>
      <w:r>
        <w:rPr>
          <w:rFonts w:asciiTheme="minorBidi" w:hAnsiTheme="minorBidi"/>
          <w:b/>
          <w:bCs/>
          <w:sz w:val="20"/>
          <w:szCs w:val="20"/>
        </w:rPr>
        <w:t>, Makhfud Efendy</w:t>
      </w:r>
      <w:r w:rsidR="00624214">
        <w:rPr>
          <w:rFonts w:asciiTheme="minorBidi" w:hAnsiTheme="minorBidi"/>
          <w:b/>
          <w:bCs/>
          <w:sz w:val="20"/>
          <w:szCs w:val="20"/>
          <w:vertAlign w:val="superscript"/>
        </w:rPr>
        <w:t>*</w:t>
      </w:r>
      <w:r>
        <w:rPr>
          <w:rFonts w:asciiTheme="minorBidi" w:hAnsiTheme="minorBidi"/>
          <w:b/>
          <w:bCs/>
          <w:sz w:val="20"/>
          <w:szCs w:val="20"/>
        </w:rPr>
        <w:t>, Nizar Amir</w:t>
      </w:r>
      <w:r w:rsidR="00624214">
        <w:rPr>
          <w:rFonts w:asciiTheme="minorBidi" w:hAnsiTheme="minorBidi"/>
          <w:b/>
          <w:bCs/>
          <w:sz w:val="20"/>
          <w:szCs w:val="20"/>
          <w:vertAlign w:val="superscript"/>
        </w:rPr>
        <w:t>*</w:t>
      </w:r>
      <w:r>
        <w:rPr>
          <w:rFonts w:asciiTheme="minorBidi" w:hAnsiTheme="minorBidi"/>
          <w:b/>
          <w:bCs/>
          <w:sz w:val="20"/>
          <w:szCs w:val="20"/>
        </w:rPr>
        <w:t>, dan Nike I. Nuzula</w:t>
      </w:r>
      <w:r w:rsidR="00176873">
        <w:rPr>
          <w:rFonts w:asciiTheme="minorBidi" w:hAnsiTheme="minorBidi"/>
          <w:b/>
          <w:bCs/>
          <w:sz w:val="20"/>
          <w:szCs w:val="20"/>
          <w:vertAlign w:val="superscript"/>
        </w:rPr>
        <w:t>*</w:t>
      </w:r>
    </w:p>
    <w:p w:rsidR="009A3DB7" w:rsidRPr="00BF20B3" w:rsidRDefault="009A3DB7" w:rsidP="00BF20B3">
      <w:pPr>
        <w:jc w:val="center"/>
        <w:rPr>
          <w:rFonts w:ascii="Arial Narrow" w:hAnsi="Arial Narrow" w:cstheme="majorBidi"/>
          <w:sz w:val="20"/>
          <w:szCs w:val="20"/>
        </w:rPr>
      </w:pPr>
      <w:r w:rsidRPr="00BF20B3">
        <w:rPr>
          <w:rFonts w:ascii="Arial Narrow" w:hAnsi="Arial Narrow" w:cstheme="majorBidi"/>
          <w:sz w:val="20"/>
          <w:szCs w:val="20"/>
        </w:rPr>
        <w:t xml:space="preserve">Program Studi Ilmu kelautan, Fakultas Pertanian, Universitas Trunojoyo </w:t>
      </w:r>
    </w:p>
    <w:p w:rsidR="00624214" w:rsidRDefault="00BF20B3" w:rsidP="00624214">
      <w:pPr>
        <w:spacing w:after="0"/>
        <w:jc w:val="center"/>
        <w:rPr>
          <w:rFonts w:asciiTheme="minorBidi" w:hAnsiTheme="minorBidi"/>
          <w:sz w:val="20"/>
          <w:szCs w:val="20"/>
        </w:rPr>
      </w:pPr>
      <w:r w:rsidRPr="00BF20B3">
        <w:rPr>
          <w:rFonts w:asciiTheme="minorBidi" w:hAnsiTheme="minorBidi"/>
          <w:sz w:val="20"/>
          <w:szCs w:val="20"/>
        </w:rPr>
        <w:t xml:space="preserve">*Corresponden author email: </w:t>
      </w:r>
      <w:hyperlink r:id="rId6" w:history="1">
        <w:r w:rsidR="00624214" w:rsidRPr="008D0112">
          <w:rPr>
            <w:rStyle w:val="Hyperlink"/>
            <w:rFonts w:asciiTheme="minorBidi" w:hAnsiTheme="minorBidi"/>
            <w:sz w:val="20"/>
            <w:szCs w:val="20"/>
          </w:rPr>
          <w:t>nike.nuzula@trunojoyo.ac.id</w:t>
        </w:r>
      </w:hyperlink>
    </w:p>
    <w:p w:rsidR="00624214" w:rsidRPr="00BF20B3" w:rsidRDefault="00624214" w:rsidP="00624214">
      <w:pPr>
        <w:spacing w:after="0"/>
        <w:jc w:val="center"/>
        <w:rPr>
          <w:rFonts w:asciiTheme="minorBidi" w:hAnsiTheme="minorBidi"/>
          <w:sz w:val="20"/>
          <w:szCs w:val="20"/>
        </w:rPr>
      </w:pPr>
    </w:p>
    <w:p w:rsidR="009A3DB7" w:rsidRDefault="009A3DB7" w:rsidP="00624214">
      <w:pPr>
        <w:spacing w:after="0"/>
        <w:jc w:val="center"/>
        <w:rPr>
          <w:rFonts w:asciiTheme="majorBidi" w:hAnsiTheme="majorBidi" w:cstheme="majorBidi"/>
          <w:sz w:val="24"/>
          <w:szCs w:val="24"/>
        </w:rPr>
      </w:pPr>
      <w:proofErr w:type="gramStart"/>
      <w:r>
        <w:rPr>
          <w:rFonts w:asciiTheme="majorBidi" w:hAnsiTheme="majorBidi" w:cstheme="majorBidi"/>
          <w:sz w:val="24"/>
          <w:szCs w:val="24"/>
        </w:rPr>
        <w:t>email</w:t>
      </w:r>
      <w:proofErr w:type="gramEnd"/>
      <w:r>
        <w:rPr>
          <w:rFonts w:asciiTheme="majorBidi" w:hAnsiTheme="majorBidi" w:cstheme="majorBidi"/>
          <w:sz w:val="24"/>
          <w:szCs w:val="24"/>
        </w:rPr>
        <w:t xml:space="preserve">: </w:t>
      </w:r>
      <w:hyperlink r:id="rId7" w:history="1">
        <w:r w:rsidR="00624214" w:rsidRPr="008D0112">
          <w:rPr>
            <w:rStyle w:val="Hyperlink"/>
            <w:rFonts w:asciiTheme="majorBidi" w:hAnsiTheme="majorBidi" w:cstheme="majorBidi"/>
            <w:sz w:val="24"/>
            <w:szCs w:val="24"/>
          </w:rPr>
          <w:t>180341100021@student.trunojoyo.ac.id</w:t>
        </w:r>
      </w:hyperlink>
    </w:p>
    <w:p w:rsidR="00624214" w:rsidRDefault="00624214" w:rsidP="00624214">
      <w:pPr>
        <w:spacing w:after="0"/>
        <w:jc w:val="center"/>
        <w:rPr>
          <w:rFonts w:asciiTheme="majorBidi" w:hAnsiTheme="majorBidi" w:cstheme="majorBidi"/>
          <w:color w:val="0070C0"/>
          <w:sz w:val="24"/>
          <w:szCs w:val="24"/>
          <w:u w:val="single"/>
        </w:rPr>
      </w:pPr>
    </w:p>
    <w:p w:rsidR="009A3DB7" w:rsidRPr="00BB49C7" w:rsidRDefault="009A3DB7" w:rsidP="009A3DB7">
      <w:pPr>
        <w:jc w:val="center"/>
        <w:rPr>
          <w:rFonts w:asciiTheme="minorBidi" w:hAnsiTheme="minorBidi"/>
          <w:b/>
          <w:bCs/>
          <w:sz w:val="20"/>
          <w:szCs w:val="20"/>
        </w:rPr>
      </w:pPr>
      <w:r w:rsidRPr="00BB49C7">
        <w:rPr>
          <w:rFonts w:asciiTheme="minorBidi" w:hAnsiTheme="minorBidi"/>
          <w:b/>
          <w:bCs/>
          <w:sz w:val="20"/>
          <w:szCs w:val="20"/>
        </w:rPr>
        <w:t>ABSTRAK</w:t>
      </w:r>
    </w:p>
    <w:p w:rsidR="009A3DB7" w:rsidRPr="00F64C48" w:rsidRDefault="009A3DB7" w:rsidP="00F64C48">
      <w:pPr>
        <w:jc w:val="both"/>
        <w:rPr>
          <w:rFonts w:asciiTheme="minorBidi" w:hAnsiTheme="minorBidi"/>
          <w:b/>
          <w:bCs/>
          <w:sz w:val="20"/>
          <w:szCs w:val="20"/>
        </w:rPr>
      </w:pPr>
      <w:r w:rsidRPr="00BB49C7">
        <w:rPr>
          <w:rFonts w:asciiTheme="minorBidi" w:hAnsiTheme="minorBidi"/>
          <w:sz w:val="20"/>
          <w:szCs w:val="20"/>
        </w:rPr>
        <w:t xml:space="preserve">Wilayah kabupaten Pamekasan yang memproduksi garam  terdiri dari 3 kecamatan yaitu kecamatan galis dengan luas lahan tambak 1.108,41 Ha, Kecamatan Pademawu yaitu sebesar 740,96 Ha dan Kecamatan Tlanakan sebesar 48,81 Ha. </w:t>
      </w:r>
      <w:proofErr w:type="gramStart"/>
      <w:r w:rsidRPr="00BB49C7">
        <w:rPr>
          <w:rFonts w:asciiTheme="minorBidi" w:hAnsiTheme="minorBidi"/>
          <w:sz w:val="20"/>
          <w:szCs w:val="20"/>
        </w:rPr>
        <w:t>Pengambilan sampel dilakukan di tambak garam PT. Garam Persero Pamekasan yang berlokasi di Desa Capak, Kecamatan Galis, Kabupaten Pamekasan.</w:t>
      </w:r>
      <w:proofErr w:type="gramEnd"/>
      <w:r w:rsidRPr="00BB49C7">
        <w:rPr>
          <w:rFonts w:asciiTheme="minorBidi" w:hAnsiTheme="minorBidi"/>
          <w:sz w:val="20"/>
          <w:szCs w:val="20"/>
        </w:rPr>
        <w:t xml:space="preserve"> Tujuan dari Penelitian ini yaitu mengatahui kandungan </w:t>
      </w:r>
      <w:r>
        <w:rPr>
          <w:rFonts w:asciiTheme="minorBidi" w:hAnsiTheme="minorBidi"/>
          <w:sz w:val="20"/>
          <w:szCs w:val="20"/>
        </w:rPr>
        <w:t>Magnesium (Mg)</w:t>
      </w:r>
      <w:r w:rsidRPr="00BB49C7">
        <w:rPr>
          <w:rFonts w:asciiTheme="minorBidi" w:hAnsiTheme="minorBidi"/>
          <w:sz w:val="20"/>
          <w:szCs w:val="20"/>
        </w:rPr>
        <w:t xml:space="preserve"> pada </w:t>
      </w:r>
      <w:r>
        <w:rPr>
          <w:rFonts w:asciiTheme="minorBidi" w:hAnsiTheme="minorBidi"/>
          <w:sz w:val="20"/>
          <w:szCs w:val="20"/>
        </w:rPr>
        <w:t xml:space="preserve">air bahan </w:t>
      </w:r>
      <w:proofErr w:type="gramStart"/>
      <w:r>
        <w:rPr>
          <w:rFonts w:asciiTheme="minorBidi" w:hAnsiTheme="minorBidi"/>
          <w:sz w:val="20"/>
          <w:szCs w:val="20"/>
        </w:rPr>
        <w:t>baku</w:t>
      </w:r>
      <w:proofErr w:type="gramEnd"/>
      <w:r>
        <w:rPr>
          <w:rFonts w:asciiTheme="minorBidi" w:hAnsiTheme="minorBidi"/>
          <w:sz w:val="20"/>
          <w:szCs w:val="20"/>
        </w:rPr>
        <w:t xml:space="preserve"> garam </w:t>
      </w:r>
      <w:r w:rsidRPr="00BB49C7">
        <w:rPr>
          <w:rFonts w:asciiTheme="minorBidi" w:hAnsiTheme="minorBidi"/>
          <w:sz w:val="20"/>
          <w:szCs w:val="20"/>
        </w:rPr>
        <w:t xml:space="preserve">menggunakan </w:t>
      </w:r>
      <w:r>
        <w:rPr>
          <w:rFonts w:asciiTheme="minorBidi" w:hAnsiTheme="minorBidi"/>
          <w:sz w:val="20"/>
          <w:szCs w:val="20"/>
        </w:rPr>
        <w:t>Metode Spektrofotometer (SSA)</w:t>
      </w:r>
      <w:r w:rsidRPr="00BB49C7">
        <w:rPr>
          <w:rFonts w:asciiTheme="minorBidi" w:hAnsiTheme="minorBidi"/>
          <w:sz w:val="20"/>
          <w:szCs w:val="20"/>
        </w:rPr>
        <w:t xml:space="preserve"> di laboratorium Balai Riset dan Standarisasi Industri Surabaya. </w:t>
      </w:r>
      <w:proofErr w:type="gramStart"/>
      <w:r w:rsidRPr="00BB49C7">
        <w:rPr>
          <w:rFonts w:asciiTheme="minorBidi" w:hAnsiTheme="minorBidi"/>
          <w:sz w:val="20"/>
          <w:szCs w:val="20"/>
        </w:rPr>
        <w:t>Analisa data pada pe</w:t>
      </w:r>
      <w:r w:rsidR="00A805F8">
        <w:rPr>
          <w:rFonts w:asciiTheme="minorBidi" w:hAnsiTheme="minorBidi"/>
          <w:sz w:val="20"/>
          <w:szCs w:val="20"/>
        </w:rPr>
        <w:t>nelitian ini mnenggunakan Uji Anova one way.</w:t>
      </w:r>
      <w:proofErr w:type="gramEnd"/>
      <w:r w:rsidR="00A805F8">
        <w:rPr>
          <w:rFonts w:asciiTheme="minorBidi" w:hAnsiTheme="minorBidi"/>
          <w:sz w:val="20"/>
          <w:szCs w:val="20"/>
        </w:rPr>
        <w:t xml:space="preserve"> Hasil analisa kandungan Magnesium (Mg) pada air bahan baku yaitu 219,9 mg/L dan 223,1 Mg/L, Pada Bozem yaitu 32532,5 mg/L dan 31945 mg/L. Kandungan Magnesium (Mg) pada peminihan yaitu 11892,5 mg/L dan 11740 mg/L. Pada Meja Kristalisasi tanah yaitu 245,9 mg/L dan 243,8 mg/L.</w:t>
      </w:r>
      <w:r w:rsidR="00B55DBA" w:rsidRPr="00B55DBA">
        <w:rPr>
          <w:rFonts w:asciiTheme="minorBidi" w:eastAsiaTheme="minorEastAsia" w:hAnsiTheme="minorBidi"/>
          <w:sz w:val="20"/>
          <w:szCs w:val="20"/>
        </w:rPr>
        <w:t xml:space="preserve"> </w:t>
      </w:r>
      <w:r w:rsidR="00B55DBA">
        <w:rPr>
          <w:rFonts w:asciiTheme="minorBidi" w:eastAsiaTheme="minorEastAsia" w:hAnsiTheme="minorBidi"/>
          <w:sz w:val="20"/>
          <w:szCs w:val="20"/>
        </w:rPr>
        <w:t>Kandungan Magnesium pada setiap pengulangan analisa air bahan baku, bozem, peminihan dan meja kristalisasi Tanah</w:t>
      </w:r>
      <w:r w:rsidR="00B55DBA" w:rsidRPr="00B55DBA">
        <w:rPr>
          <w:rFonts w:asciiTheme="minorBidi" w:eastAsiaTheme="minorEastAsia" w:hAnsiTheme="minorBidi"/>
          <w:sz w:val="20"/>
          <w:szCs w:val="20"/>
        </w:rPr>
        <w:t xml:space="preserve"> </w:t>
      </w:r>
      <w:r w:rsidR="00B55DBA">
        <w:rPr>
          <w:rFonts w:asciiTheme="minorBidi" w:eastAsiaTheme="minorEastAsia" w:hAnsiTheme="minorBidi"/>
          <w:sz w:val="20"/>
          <w:szCs w:val="20"/>
        </w:rPr>
        <w:t xml:space="preserve">tidak </w:t>
      </w:r>
      <w:r w:rsidR="00B55DBA" w:rsidRPr="00BB49C7">
        <w:rPr>
          <w:rFonts w:asciiTheme="minorBidi" w:eastAsiaTheme="minorEastAsia" w:hAnsiTheme="minorBidi"/>
          <w:sz w:val="20"/>
          <w:szCs w:val="20"/>
        </w:rPr>
        <w:t>ada Perbedaan ra</w:t>
      </w:r>
      <w:r w:rsidR="00B55DBA">
        <w:rPr>
          <w:rFonts w:asciiTheme="minorBidi" w:eastAsiaTheme="minorEastAsia" w:hAnsiTheme="minorBidi"/>
          <w:sz w:val="20"/>
          <w:szCs w:val="20"/>
        </w:rPr>
        <w:t>ta-rata kandungan magnesium.</w:t>
      </w:r>
    </w:p>
    <w:p w:rsidR="00CF0BF2" w:rsidRDefault="00CF0BF2" w:rsidP="009A3DB7">
      <w:pPr>
        <w:rPr>
          <w:rFonts w:asciiTheme="minorBidi" w:hAnsiTheme="minorBidi"/>
          <w:sz w:val="20"/>
          <w:szCs w:val="20"/>
        </w:rPr>
      </w:pPr>
      <w:proofErr w:type="gramStart"/>
      <w:r>
        <w:rPr>
          <w:rFonts w:asciiTheme="minorBidi" w:hAnsiTheme="minorBidi"/>
          <w:b/>
          <w:bCs/>
          <w:sz w:val="20"/>
          <w:szCs w:val="20"/>
        </w:rPr>
        <w:t>kata</w:t>
      </w:r>
      <w:proofErr w:type="gramEnd"/>
      <w:r>
        <w:rPr>
          <w:rFonts w:asciiTheme="minorBidi" w:hAnsiTheme="minorBidi"/>
          <w:b/>
          <w:bCs/>
          <w:sz w:val="20"/>
          <w:szCs w:val="20"/>
        </w:rPr>
        <w:t xml:space="preserve"> kunci: </w:t>
      </w:r>
      <w:r>
        <w:rPr>
          <w:rFonts w:asciiTheme="minorBidi" w:hAnsiTheme="minorBidi"/>
          <w:sz w:val="20"/>
          <w:szCs w:val="20"/>
        </w:rPr>
        <w:t>Air bahan baku, Bozem, Peminihan, Meja Kristalisasi Maduris, dan Magnesium</w:t>
      </w:r>
    </w:p>
    <w:p w:rsidR="003D03AE" w:rsidRPr="003D03AE" w:rsidRDefault="003D03AE" w:rsidP="003D03AE">
      <w:pPr>
        <w:jc w:val="center"/>
        <w:rPr>
          <w:rFonts w:asciiTheme="minorBidi" w:hAnsiTheme="minorBidi"/>
          <w:b/>
          <w:bCs/>
          <w:sz w:val="20"/>
          <w:szCs w:val="20"/>
        </w:rPr>
      </w:pPr>
      <w:r>
        <w:rPr>
          <w:rFonts w:asciiTheme="minorBidi" w:hAnsiTheme="minorBidi"/>
          <w:b/>
          <w:bCs/>
          <w:sz w:val="20"/>
          <w:szCs w:val="20"/>
        </w:rPr>
        <w:t>ABSTRACT</w:t>
      </w:r>
    </w:p>
    <w:p w:rsidR="003D03AE" w:rsidRDefault="003D03AE" w:rsidP="003D03AE">
      <w:pPr>
        <w:jc w:val="both"/>
        <w:rPr>
          <w:rFonts w:asciiTheme="minorBidi" w:hAnsiTheme="minorBidi"/>
          <w:b/>
          <w:bCs/>
          <w:sz w:val="20"/>
          <w:szCs w:val="20"/>
        </w:rPr>
      </w:pPr>
      <w:r>
        <w:rPr>
          <w:rFonts w:asciiTheme="minorBidi" w:hAnsiTheme="minorBidi"/>
          <w:sz w:val="20"/>
          <w:szCs w:val="20"/>
        </w:rPr>
        <w:t xml:space="preserve">The area of ​​Pamekasan district which produces salt consists of 3 sub-districts, namely Galis sub-district with a pond area of ​​1,108.41 ha, Pademawu sub-district 740.96 ha and Tlanakan sub-district 48.81 ha. Sampling was carried out in the salt ponds of PT. Garam Persero Pamekasan which is located in Capak Village, Galis District, </w:t>
      </w:r>
      <w:proofErr w:type="gramStart"/>
      <w:r>
        <w:rPr>
          <w:rFonts w:asciiTheme="minorBidi" w:hAnsiTheme="minorBidi"/>
          <w:sz w:val="20"/>
          <w:szCs w:val="20"/>
        </w:rPr>
        <w:t>Pamekasan</w:t>
      </w:r>
      <w:proofErr w:type="gramEnd"/>
      <w:r>
        <w:rPr>
          <w:rFonts w:asciiTheme="minorBidi" w:hAnsiTheme="minorBidi"/>
          <w:sz w:val="20"/>
          <w:szCs w:val="20"/>
        </w:rPr>
        <w:t xml:space="preserve"> Regency. The purpose of this study was to determine the content of magnesium (Mg) in salt water using the Spectrophotometer Method (SSA) in the laboratory of the Surabaya Industrial Standardization and Research Institute. </w:t>
      </w:r>
      <w:proofErr w:type="gramStart"/>
      <w:r>
        <w:rPr>
          <w:rFonts w:asciiTheme="minorBidi" w:hAnsiTheme="minorBidi"/>
          <w:sz w:val="20"/>
          <w:szCs w:val="20"/>
        </w:rPr>
        <w:t>Analysis of the data in this study using the one-way ANOVA test.</w:t>
      </w:r>
      <w:proofErr w:type="gramEnd"/>
      <w:r>
        <w:rPr>
          <w:rFonts w:asciiTheme="minorBidi" w:hAnsiTheme="minorBidi"/>
          <w:sz w:val="20"/>
          <w:szCs w:val="20"/>
        </w:rPr>
        <w:t xml:space="preserve"> The results of the analysis of the content of Magnesium (Mg) in raw water are 219.9 mg/L and 223.1 Mg/L, In Bozem are 32532.5 mg/L and 31945 mg/L. The content of magnesium (Mg) in the selection is 11892.5 mg/L and 11740 mg/L.</w:t>
      </w:r>
      <w:r>
        <w:rPr>
          <w:rFonts w:asciiTheme="minorBidi" w:eastAsiaTheme="minorEastAsia" w:hAnsiTheme="minorBidi"/>
          <w:sz w:val="20"/>
          <w:szCs w:val="20"/>
        </w:rPr>
        <w:t xml:space="preserve"> Magnesium content in each repetition of the analysis of raw material water, bozem, purification and soil crystallization table there is no difference in the average magnesium content.</w:t>
      </w:r>
    </w:p>
    <w:p w:rsidR="003D03AE" w:rsidRDefault="003D03AE" w:rsidP="003D03AE">
      <w:pPr>
        <w:rPr>
          <w:rFonts w:asciiTheme="minorBidi" w:hAnsiTheme="minorBidi"/>
          <w:sz w:val="20"/>
          <w:szCs w:val="20"/>
        </w:rPr>
      </w:pPr>
      <w:proofErr w:type="gramStart"/>
      <w:r>
        <w:rPr>
          <w:rFonts w:asciiTheme="minorBidi" w:hAnsiTheme="minorBidi"/>
          <w:b/>
          <w:bCs/>
          <w:sz w:val="20"/>
          <w:szCs w:val="20"/>
        </w:rPr>
        <w:t>keywords</w:t>
      </w:r>
      <w:proofErr w:type="gramEnd"/>
      <w:r>
        <w:rPr>
          <w:rFonts w:asciiTheme="minorBidi" w:hAnsiTheme="minorBidi"/>
          <w:b/>
          <w:bCs/>
          <w:sz w:val="20"/>
          <w:szCs w:val="20"/>
        </w:rPr>
        <w:t xml:space="preserve">: </w:t>
      </w:r>
      <w:r>
        <w:rPr>
          <w:rFonts w:asciiTheme="minorBidi" w:hAnsiTheme="minorBidi"/>
          <w:sz w:val="20"/>
          <w:szCs w:val="20"/>
        </w:rPr>
        <w:t>Raw material water, Bo</w:t>
      </w:r>
      <w:r w:rsidR="00624214">
        <w:rPr>
          <w:rFonts w:asciiTheme="minorBidi" w:hAnsiTheme="minorBidi"/>
          <w:sz w:val="20"/>
          <w:szCs w:val="20"/>
        </w:rPr>
        <w:t>u</w:t>
      </w:r>
      <w:r>
        <w:rPr>
          <w:rFonts w:asciiTheme="minorBidi" w:hAnsiTheme="minorBidi"/>
          <w:sz w:val="20"/>
          <w:szCs w:val="20"/>
        </w:rPr>
        <w:t>zem, Peminihan, Madurase Salt Method, and Magnesium</w:t>
      </w:r>
    </w:p>
    <w:p w:rsidR="003D03AE" w:rsidRDefault="003D03AE" w:rsidP="003D03AE">
      <w:pPr>
        <w:rPr>
          <w:rFonts w:asciiTheme="minorBidi" w:hAnsiTheme="minorBidi"/>
          <w:sz w:val="20"/>
          <w:szCs w:val="20"/>
        </w:rPr>
      </w:pPr>
    </w:p>
    <w:p w:rsidR="00BF20B3" w:rsidRDefault="00BF20B3" w:rsidP="003D03AE">
      <w:pPr>
        <w:rPr>
          <w:rFonts w:asciiTheme="minorBidi" w:hAnsiTheme="minorBidi"/>
          <w:sz w:val="20"/>
          <w:szCs w:val="20"/>
        </w:rPr>
        <w:sectPr w:rsidR="00BF20B3">
          <w:pgSz w:w="12240" w:h="15840"/>
          <w:pgMar w:top="1440" w:right="1440" w:bottom="1440" w:left="1440" w:header="708" w:footer="708" w:gutter="0"/>
          <w:cols w:space="708"/>
          <w:docGrid w:linePitch="360"/>
        </w:sectPr>
      </w:pPr>
    </w:p>
    <w:p w:rsidR="003D03AE" w:rsidRPr="00CF0BF2" w:rsidRDefault="003D03AE" w:rsidP="003D03AE">
      <w:pPr>
        <w:rPr>
          <w:rFonts w:asciiTheme="minorBidi" w:hAnsiTheme="minorBidi"/>
          <w:sz w:val="20"/>
          <w:szCs w:val="20"/>
        </w:rPr>
      </w:pPr>
    </w:p>
    <w:p w:rsidR="00000759" w:rsidRDefault="00000759" w:rsidP="00000759">
      <w:pPr>
        <w:jc w:val="center"/>
        <w:rPr>
          <w:rFonts w:asciiTheme="minorBidi" w:hAnsiTheme="minorBidi"/>
          <w:b/>
          <w:bCs/>
          <w:sz w:val="20"/>
          <w:szCs w:val="20"/>
        </w:rPr>
      </w:pPr>
      <w:r>
        <w:rPr>
          <w:rFonts w:asciiTheme="minorBidi" w:hAnsiTheme="minorBidi"/>
          <w:b/>
          <w:bCs/>
          <w:sz w:val="20"/>
          <w:szCs w:val="20"/>
        </w:rPr>
        <w:t>PENDAHULUAN</w:t>
      </w:r>
    </w:p>
    <w:p w:rsidR="00854E2F" w:rsidRDefault="00000759" w:rsidP="00F64C48">
      <w:pPr>
        <w:jc w:val="both"/>
        <w:rPr>
          <w:rFonts w:asciiTheme="minorBidi" w:eastAsiaTheme="minorEastAsia" w:hAnsiTheme="minorBidi"/>
          <w:sz w:val="20"/>
          <w:szCs w:val="20"/>
        </w:rPr>
      </w:pPr>
      <w:r w:rsidRPr="00DF53AC">
        <w:rPr>
          <w:rFonts w:asciiTheme="minorBidi" w:hAnsiTheme="minorBidi"/>
          <w:sz w:val="20"/>
          <w:szCs w:val="20"/>
        </w:rPr>
        <w:t xml:space="preserve">Kabupaten Pamekasan merupakan salah satu kabupaten yang berada pada 6° 51’ - 7° 31’ LS dan 113° 19’ - 113° 58’ BT. Kabupaten Pamekasan sebelah baratnya  berbatasan dengan kabupaten Sampang dan sebelah timur berbatasan dengan kabupaten Sumenep. Luas Wilayah kabupaten Pamekasan 79, </w:t>
      </w:r>
      <w:proofErr w:type="gramStart"/>
      <w:r w:rsidRPr="00DF53AC">
        <w:rPr>
          <w:rFonts w:asciiTheme="minorBidi" w:hAnsiTheme="minorBidi"/>
          <w:sz w:val="20"/>
          <w:szCs w:val="20"/>
        </w:rPr>
        <w:t>230 Ha yang terdiri dari 13 kecamatan dan 189 Desa</w:t>
      </w:r>
      <w:proofErr w:type="gramEnd"/>
      <w:r w:rsidRPr="00DF53AC">
        <w:rPr>
          <w:rFonts w:asciiTheme="minorBidi" w:hAnsiTheme="minorBidi"/>
          <w:sz w:val="20"/>
          <w:szCs w:val="20"/>
        </w:rPr>
        <w:t xml:space="preserve">.  Kabupaten Pamekasan Secara garis besar terdiri dari dataran rendah pada bagian selatan dan dataran tinggi berada pada bagian  tengah dan utara </w:t>
      </w:r>
      <w:r w:rsidRPr="00DF53AC">
        <w:rPr>
          <w:rFonts w:asciiTheme="minorBidi" w:hAnsiTheme="minorBidi"/>
          <w:sz w:val="20"/>
          <w:szCs w:val="20"/>
        </w:rPr>
        <w:fldChar w:fldCharType="begin" w:fldLock="1"/>
      </w:r>
      <w:r w:rsidRPr="00DF53AC">
        <w:rPr>
          <w:rFonts w:asciiTheme="minorBidi" w:hAnsiTheme="minorBidi"/>
          <w:sz w:val="20"/>
          <w:szCs w:val="20"/>
        </w:rPr>
        <w:instrText>ADDIN CSL_CITATION {"citationItems":[{"id":"ITEM-1","itemData":{"abstract":"Pamekasan sebagai salah satu sentra produksi garam nasional masih memungkinkan untuk meningkatkan produksi garamnya melalui program ekstensifikasi di wilayah pesisir utara. Penelitian ini bertujuan untuk memetakan potensi pengembangan lahan tambak garam baru di pesisir utara Kabupaten Pamekasan sebagai dasar program ekstensifikasi tersebut. Penelitian ini memanfaatkan teknologi penginderaan jauh dan sistem informasi geografis dengan tahapan analisis: pemrosesan citra satelit, interpolasi peta rupa bumi Indonesia, digitasi peta tanah, interpolasi data curah hujan dan interpretasi deskriptif. Kegiatan pemetaan ini menghasilkan informasi potensi ketersediaan lahan tambak garam baru di pesisir utara seluas 15.822,91 Ha. Potensi ketersediaan lahan baru ini secara topografi dengan klasifikasi lereng datar untuk produksi garam (0-8%) tersedia seluas 10.084,55 Ha. Lahan baru ini didominasi mediteran rodik 12018 Ha dan kompleks mediteran, grumosol, regosol dan litosol 5662,4 Ha. Potensi teknis lainnya yang mendukung kegiatan ekstensifikasi wilayah pesisir utara adalah curah hujan yang lebih rendah dibandingkan dengan daerah pedalaman dan daerah pesisir selatan yakni seluas 15.281,5 Ha. Dasar kesesuaian lainnya adalah jumlah sungai yang bermuara ke laut pesisir utara lebih sedikit dan lebih pendek dibandingkan dengan pesisir selatan yakni sepanjang 102,97 Km. Seperti halnya pesisir selatan, di pesisir utara juga tersedia jalur transportasi baik darat maupun laut berupa jalan kolektor sepanjang 17,6 Km yang melintasi Kecamatan Pasean dan Kecamatan Batumarmar.","author":[{"dropping-particle":"","family":"EfendyR","given":"Mahfud","non-dropping-particle":"","parse-names":false,"suffix":""},{"dropping-particle":"","family":"Sidik","given":"Rahmad Fajar","non-dropping-particle":"","parse-names":false,"suffix":""},{"dropping-particle":"","family":"Muhsoni","given":"Firman Farid","non-dropping-particle":"","parse-names":false,"suffix":""}],"container-title":"Jurnal Kelautan","id":"ITEM-1","issue":"1","issued":{"date-parts":[["2014"]]},"page":"1-11","title":"Pemetaan Potensi Pengembangan Lahan Tambak Garam Di Pesisir Utara Kabupaten Pamekasan","type":"article-journal","volume":"7"},"uris":["http://www.mendeley.com/documents/?uuid=dc06c55d-9687-4256-8c23-a46043f5f031"]}],"mendeley":{"formattedCitation":"(EfendyR et al., 2014)","plainTextFormattedCitation":"(EfendyR et al., 2014)","previouslyFormattedCitation":"(EfendyR et al., 2014)"},"properties":{"noteIndex":0},"schema":"https://github.com/citation-style-language/schema/raw/master/csl-citation.json"}</w:instrText>
      </w:r>
      <w:r w:rsidRPr="00DF53AC">
        <w:rPr>
          <w:rFonts w:asciiTheme="minorBidi" w:hAnsiTheme="minorBidi"/>
          <w:sz w:val="20"/>
          <w:szCs w:val="20"/>
        </w:rPr>
        <w:fldChar w:fldCharType="separate"/>
      </w:r>
      <w:r w:rsidRPr="00DF53AC">
        <w:rPr>
          <w:rFonts w:asciiTheme="minorBidi" w:hAnsiTheme="minorBidi"/>
          <w:noProof/>
          <w:sz w:val="20"/>
          <w:szCs w:val="20"/>
        </w:rPr>
        <w:t>(EfendyR et al., 2014)</w:t>
      </w:r>
      <w:r w:rsidRPr="00DF53AC">
        <w:rPr>
          <w:rFonts w:asciiTheme="minorBidi" w:hAnsiTheme="minorBidi"/>
          <w:sz w:val="20"/>
          <w:szCs w:val="20"/>
        </w:rPr>
        <w:fldChar w:fldCharType="end"/>
      </w:r>
      <w:r>
        <w:rPr>
          <w:rFonts w:asciiTheme="minorBidi" w:hAnsiTheme="minorBidi"/>
          <w:sz w:val="20"/>
          <w:szCs w:val="20"/>
        </w:rPr>
        <w:t xml:space="preserve">. Air laut merupakan air bahan </w:t>
      </w:r>
      <w:proofErr w:type="gramStart"/>
      <w:r>
        <w:rPr>
          <w:rFonts w:asciiTheme="minorBidi" w:hAnsiTheme="minorBidi"/>
          <w:sz w:val="20"/>
          <w:szCs w:val="20"/>
        </w:rPr>
        <w:t>baku</w:t>
      </w:r>
      <w:proofErr w:type="gramEnd"/>
      <w:r>
        <w:rPr>
          <w:rFonts w:asciiTheme="minorBidi" w:hAnsiTheme="minorBidi"/>
          <w:sz w:val="20"/>
          <w:szCs w:val="20"/>
        </w:rPr>
        <w:t xml:space="preserve"> yang digunakan dalam produksi garam. Kandungan Air </w:t>
      </w:r>
      <w:proofErr w:type="gramStart"/>
      <w:r>
        <w:rPr>
          <w:rFonts w:asciiTheme="minorBidi" w:hAnsiTheme="minorBidi"/>
          <w:sz w:val="20"/>
          <w:szCs w:val="20"/>
        </w:rPr>
        <w:t xml:space="preserve">laut </w:t>
      </w:r>
      <w:r w:rsidR="00C741E1">
        <w:rPr>
          <w:rFonts w:asciiTheme="minorBidi" w:hAnsiTheme="minorBidi"/>
          <w:sz w:val="20"/>
          <w:szCs w:val="20"/>
        </w:rPr>
        <w:t xml:space="preserve"> yaitu</w:t>
      </w:r>
      <w:proofErr w:type="gramEnd"/>
      <w:r w:rsidR="00C741E1">
        <w:rPr>
          <w:rFonts w:asciiTheme="minorBidi" w:hAnsiTheme="minorBidi"/>
          <w:sz w:val="20"/>
          <w:szCs w:val="20"/>
        </w:rPr>
        <w:t xml:space="preserve"> kaslium (Ca), Magnesium (Mg), dan Kalium (K) yang dapat menurunkan kualitas garam dalam air karena senyawa tersebut bersifat higroskopis dimana dapat meningkatkan julmah air pada garam ketika berada pada pada kelembaban yang tinggi. </w:t>
      </w:r>
      <w:r w:rsidR="00901389">
        <w:rPr>
          <w:rFonts w:asciiTheme="minorBidi" w:eastAsiaTheme="minorEastAsia" w:hAnsiTheme="minorBidi"/>
          <w:sz w:val="20"/>
          <w:szCs w:val="20"/>
        </w:rPr>
        <w:t xml:space="preserve">Air bahan </w:t>
      </w:r>
      <w:proofErr w:type="gramStart"/>
      <w:r w:rsidR="00901389">
        <w:rPr>
          <w:rFonts w:asciiTheme="minorBidi" w:eastAsiaTheme="minorEastAsia" w:hAnsiTheme="minorBidi"/>
          <w:sz w:val="20"/>
          <w:szCs w:val="20"/>
        </w:rPr>
        <w:t>baku</w:t>
      </w:r>
      <w:proofErr w:type="gramEnd"/>
      <w:r w:rsidR="00901389">
        <w:rPr>
          <w:rFonts w:asciiTheme="minorBidi" w:eastAsiaTheme="minorEastAsia" w:hAnsiTheme="minorBidi"/>
          <w:sz w:val="20"/>
          <w:szCs w:val="20"/>
        </w:rPr>
        <w:t xml:space="preserve"> merupakan bahan utama dalam produksi garam. Air bahan </w:t>
      </w:r>
      <w:proofErr w:type="gramStart"/>
      <w:r w:rsidR="00901389">
        <w:rPr>
          <w:rFonts w:asciiTheme="minorBidi" w:eastAsiaTheme="minorEastAsia" w:hAnsiTheme="minorBidi"/>
          <w:sz w:val="20"/>
          <w:szCs w:val="20"/>
        </w:rPr>
        <w:t>baku</w:t>
      </w:r>
      <w:proofErr w:type="gramEnd"/>
      <w:r w:rsidR="00901389">
        <w:rPr>
          <w:rFonts w:asciiTheme="minorBidi" w:eastAsiaTheme="minorEastAsia" w:hAnsiTheme="minorBidi"/>
          <w:sz w:val="20"/>
          <w:szCs w:val="20"/>
        </w:rPr>
        <w:t xml:space="preserve"> yang digunakan dalam proses produksi garam memanfaatkan air laut dimana air laut tersebut dialirkan ke dalam bak penampungan atau bozem dimana kadar konsentrasinya 2-3°Be sehinga menjadi </w:t>
      </w:r>
      <w:r w:rsidR="007A6505">
        <w:rPr>
          <w:rFonts w:asciiTheme="minorBidi" w:eastAsiaTheme="minorEastAsia" w:hAnsiTheme="minorBidi"/>
          <w:sz w:val="20"/>
          <w:szCs w:val="20"/>
        </w:rPr>
        <w:t xml:space="preserve">10°Be. Kualitas garam tergantung dari pengambilan bahan bakunya dimana </w:t>
      </w:r>
      <w:r w:rsidR="007A6505">
        <w:rPr>
          <w:rFonts w:asciiTheme="majorBidi" w:hAnsiTheme="majorBidi" w:cstheme="majorBidi"/>
          <w:sz w:val="24"/>
          <w:szCs w:val="24"/>
        </w:rPr>
        <w:t>t</w:t>
      </w:r>
      <w:r w:rsidR="007A6505" w:rsidRPr="007A6505">
        <w:rPr>
          <w:rFonts w:asciiTheme="majorBidi" w:hAnsiTheme="majorBidi" w:cstheme="majorBidi"/>
          <w:sz w:val="24"/>
          <w:szCs w:val="24"/>
        </w:rPr>
        <w:t xml:space="preserve">ingginya </w:t>
      </w:r>
      <w:proofErr w:type="gramStart"/>
      <w:r w:rsidR="007A6505" w:rsidRPr="007A6505">
        <w:rPr>
          <w:rFonts w:asciiTheme="majorBidi" w:hAnsiTheme="majorBidi" w:cstheme="majorBidi"/>
          <w:sz w:val="24"/>
          <w:szCs w:val="24"/>
        </w:rPr>
        <w:t>kadar</w:t>
      </w:r>
      <w:proofErr w:type="gramEnd"/>
      <w:r w:rsidR="007A6505" w:rsidRPr="007A6505">
        <w:rPr>
          <w:rFonts w:asciiTheme="majorBidi" w:hAnsiTheme="majorBidi" w:cstheme="majorBidi"/>
          <w:sz w:val="24"/>
          <w:szCs w:val="24"/>
        </w:rPr>
        <w:t xml:space="preserve"> NaCl serta besarnya zat pengotor yang terkandung dalam garam dapat menentukan kualitas dari garam itu sendiri, semakin kecil nilai zat pengotor dalam garam maka akan semakin tinggi pula kualitas garam tersebut.</w:t>
      </w:r>
      <w:r w:rsidR="007A6505">
        <w:rPr>
          <w:rFonts w:asciiTheme="majorBidi" w:hAnsiTheme="majorBidi" w:cstheme="majorBidi"/>
          <w:sz w:val="24"/>
          <w:szCs w:val="24"/>
        </w:rPr>
        <w:t xml:space="preserve"> Wilayah peissir dijadikan sebagai tempat produski garam </w:t>
      </w:r>
      <w:r w:rsidR="007A6505" w:rsidRPr="005A7E59">
        <w:rPr>
          <w:rFonts w:asciiTheme="majorBidi" w:hAnsiTheme="majorBidi" w:cstheme="majorBidi"/>
          <w:sz w:val="24"/>
          <w:szCs w:val="24"/>
        </w:rPr>
        <w:t xml:space="preserve">karena mudahnya akses pengaliran air kedalam petak tambak dan </w:t>
      </w:r>
      <w:proofErr w:type="gramStart"/>
      <w:r w:rsidR="007A6505" w:rsidRPr="005A7E59">
        <w:rPr>
          <w:rFonts w:asciiTheme="majorBidi" w:hAnsiTheme="majorBidi" w:cstheme="majorBidi"/>
          <w:sz w:val="24"/>
          <w:szCs w:val="24"/>
        </w:rPr>
        <w:t>akan</w:t>
      </w:r>
      <w:proofErr w:type="gramEnd"/>
      <w:r w:rsidR="007A6505" w:rsidRPr="005A7E59">
        <w:rPr>
          <w:rFonts w:asciiTheme="majorBidi" w:hAnsiTheme="majorBidi" w:cstheme="majorBidi"/>
          <w:sz w:val="24"/>
          <w:szCs w:val="24"/>
        </w:rPr>
        <w:t xml:space="preserve"> sangat rentan terjadinya pencemaran. </w:t>
      </w:r>
      <w:proofErr w:type="gramStart"/>
      <w:r w:rsidR="007A6505" w:rsidRPr="005A7E59">
        <w:rPr>
          <w:rFonts w:asciiTheme="majorBidi" w:hAnsiTheme="majorBidi" w:cstheme="majorBidi"/>
          <w:sz w:val="24"/>
          <w:szCs w:val="24"/>
        </w:rPr>
        <w:t>Hal tersebut karena pesisir tempat pembuangan akhir dari semua jenis limbah yang mengandung logam berat.</w:t>
      </w:r>
      <w:proofErr w:type="gramEnd"/>
      <w:r w:rsidR="007A6505" w:rsidRPr="005A7E59">
        <w:rPr>
          <w:rFonts w:asciiTheme="majorBidi" w:hAnsiTheme="majorBidi" w:cstheme="majorBidi"/>
          <w:sz w:val="24"/>
          <w:szCs w:val="24"/>
        </w:rPr>
        <w:t xml:space="preserve"> </w:t>
      </w:r>
      <w:r w:rsidR="007A6505" w:rsidRPr="005A7E59">
        <w:rPr>
          <w:rFonts w:asciiTheme="majorBidi" w:hAnsiTheme="majorBidi" w:cstheme="majorBidi"/>
          <w:sz w:val="24"/>
          <w:szCs w:val="24"/>
        </w:rPr>
        <w:fldChar w:fldCharType="begin" w:fldLock="1"/>
      </w:r>
      <w:r w:rsidR="007A6505" w:rsidRPr="005A7E59">
        <w:rPr>
          <w:rFonts w:asciiTheme="majorBidi" w:hAnsiTheme="majorBidi" w:cstheme="majorBidi"/>
          <w:sz w:val="24"/>
          <w:szCs w:val="24"/>
        </w:rPr>
        <w:instrText>ADDIN CSL_CITATION {"citationItems":[{"id":"ITEM-1","itemData":{"DOI":"10.1177/0003702819861552","ISSN":"19433530","PMID":"31315431","abstract":"Feasibility of a simple laser-induced breakdown spectroscopy (LIBS) device has been investigated for the analysis of Mg and Ca in edible salts. The LIBS spectrometer was assembled with a compact low-power diode-pumped solid-state laser (DPSSL) and a non-gated low-resolution handheld spectrometer. A simple sampling process was employed for on-site application. A piece of filter paper was dipped in the aqueous solution of a sample salt and dried for analysis using LIBS. Maintaining the sample surface height at the optimum position was critical to generate plasmas persistently due to the low pulse energy of the DPSSL. The varying height of the filter paper surface was monitored and compensated, while the sample stage was translated to collect spectra from different positions. The variation of line intensities of Mg and Ca could be attributed to the inhomogeneous distribution of dry residues. To correct this, the peak that consists of the Na(I) and C(II) lines at 568 nm was employed as a reference signal for intensity normalization of the analyte Mg(II) and Ca(II) lines. For edible salt products, the normalized Mg(II) and Ca(II) line intensities could be well correlated with the concentrations of Mg and Ca determined using inductively coupled plasma optical emission spectroscopy. Our results indicate that a simple LIBS device in combination with the simple sampling method is promising as an on-site salt quality assessment methodology.","author":[{"dropping-particle":"","family":"Kim","given":"Hyang","non-dropping-particle":"","parse-names":false,"suffix":""},{"dropping-particle":"","family":"Jeon","given":"Yoonji","non-dropping-particle":"","parse-names":false,"suffix":""},{"dropping-particle":"","family":"Lee","given":"Won Bae","non-dropping-particle":"","parse-names":false,"suffix":""},{"dropping-particle":"","family":"Nam","given":"Sang Ho","non-dropping-particle":"","parse-names":false,"suffix":""},{"dropping-particle":"","family":"Han","given":"Song Hee","non-dropping-particle":"","parse-names":false,"suffix":""},{"dropping-particle":"","family":"Ham","given":"Kyung Sik","non-dropping-particle":"","parse-names":false,"suffix":""},{"dropping-particle":"","family":"Singh","given":"Vivek K.","non-dropping-particle":"","parse-names":false,"suffix":""},{"dropping-particle":"","family":"Lee","given":"Yonghoon","non-dropping-particle":"","parse-names":false,"suffix":""}],"container-title":"Applied Spectroscopy","id":"ITEM-1","issue":"10","issued":{"date-parts":[["2019"]]},"page":"1172-1182","title":"Feasibility of Quantitative Analysis of Magnesium and Calcium in Edible Salts Using a Simple Laser-Induced Breakdown Spectroscopy Device","type":"article-journal","volume":"73"},"uris":["http://www.mendeley.com/documents/?uuid=44613cc4-b52e-43bc-b5e0-98f178f3e289"]}],"mendeley":{"formattedCitation":"(Kim et al., 2019)","plainTextFormattedCitation":"(Kim et al., 2019)","previouslyFormattedCitation":"(Kim et al., 2019)"},"properties":{"noteIndex":0},"schema":"https://github.com/citation-style-language/schema/raw/master/csl-citation.json"}</w:instrText>
      </w:r>
      <w:r w:rsidR="007A6505" w:rsidRPr="005A7E59">
        <w:rPr>
          <w:rFonts w:asciiTheme="majorBidi" w:hAnsiTheme="majorBidi" w:cstheme="majorBidi"/>
          <w:sz w:val="24"/>
          <w:szCs w:val="24"/>
        </w:rPr>
        <w:fldChar w:fldCharType="separate"/>
      </w:r>
      <w:proofErr w:type="gramStart"/>
      <w:r w:rsidR="007A6505" w:rsidRPr="005A7E59">
        <w:rPr>
          <w:rFonts w:asciiTheme="majorBidi" w:hAnsiTheme="majorBidi" w:cstheme="majorBidi"/>
          <w:noProof/>
          <w:sz w:val="24"/>
          <w:szCs w:val="24"/>
        </w:rPr>
        <w:t>(Kim et al., 2019)</w:t>
      </w:r>
      <w:r w:rsidR="007A6505" w:rsidRPr="005A7E59">
        <w:rPr>
          <w:rFonts w:asciiTheme="majorBidi" w:hAnsiTheme="majorBidi" w:cstheme="majorBidi"/>
          <w:sz w:val="24"/>
          <w:szCs w:val="24"/>
        </w:rPr>
        <w:fldChar w:fldCharType="end"/>
      </w:r>
      <w:r w:rsidR="007A6505" w:rsidRPr="005A7E59">
        <w:rPr>
          <w:rFonts w:asciiTheme="majorBidi" w:hAnsiTheme="majorBidi" w:cstheme="majorBidi"/>
          <w:sz w:val="24"/>
          <w:szCs w:val="24"/>
        </w:rPr>
        <w:t>.</w:t>
      </w:r>
      <w:r w:rsidR="00854E2F">
        <w:rPr>
          <w:rFonts w:asciiTheme="minorBidi" w:hAnsiTheme="minorBidi"/>
          <w:sz w:val="20"/>
          <w:szCs w:val="20"/>
        </w:rPr>
        <w:t>Metode garam Maduris adala suatu metode dimana dalam metode ini menggunakan lantai tanah yang telah di keraskan melalui tahapan kesap atau gulu untuk tempat pengkristalan garam.</w:t>
      </w:r>
      <w:proofErr w:type="gramEnd"/>
      <w:r w:rsidR="00854E2F">
        <w:rPr>
          <w:rFonts w:asciiTheme="minorBidi" w:hAnsiTheme="minorBidi"/>
          <w:sz w:val="20"/>
          <w:szCs w:val="20"/>
        </w:rPr>
        <w:t xml:space="preserve"> Proses kesap dan gulu pada meja kristalisasi selain untuk mengeraskan tanah juga dapat menghilangkan endapan pengotor seperti kalsium karbonat (</w:t>
      </w:r>
      <m:oMath>
        <m:sSub>
          <m:sSubPr>
            <m:ctrlPr>
              <w:rPr>
                <w:rFonts w:ascii="Cambria Math" w:hAnsi="Cambria Math"/>
                <w:i/>
                <w:sz w:val="20"/>
                <w:szCs w:val="20"/>
              </w:rPr>
            </m:ctrlPr>
          </m:sSubPr>
          <m:e>
            <m:r>
              <w:rPr>
                <w:rFonts w:ascii="Cambria Math" w:hAnsi="Cambria Math"/>
                <w:sz w:val="20"/>
                <w:szCs w:val="20"/>
              </w:rPr>
              <m:t>CaCo</m:t>
            </m:r>
          </m:e>
          <m:sub>
            <m:r>
              <w:rPr>
                <w:rFonts w:ascii="Cambria Math" w:hAnsi="Cambria Math"/>
                <w:sz w:val="20"/>
                <w:szCs w:val="20"/>
              </w:rPr>
              <m:t>3</m:t>
            </m:r>
          </m:sub>
        </m:sSub>
        <m:r>
          <w:rPr>
            <w:rFonts w:ascii="Cambria Math" w:hAnsi="Cambria Math"/>
            <w:sz w:val="20"/>
            <w:szCs w:val="20"/>
          </w:rPr>
          <m:t>)</m:t>
        </m:r>
      </m:oMath>
      <w:r w:rsidR="00854E2F">
        <w:rPr>
          <w:rFonts w:asciiTheme="minorBidi" w:eastAsiaTheme="minorEastAsia" w:hAnsiTheme="minorBidi"/>
          <w:sz w:val="20"/>
          <w:szCs w:val="20"/>
        </w:rPr>
        <w:t xml:space="preserve"> dan kalsium sulfat </w:t>
      </w:r>
      <w:r w:rsidR="00854E2F">
        <w:rPr>
          <w:rFonts w:asciiTheme="minorBidi" w:hAnsiTheme="minorBidi"/>
          <w:sz w:val="20"/>
          <w:szCs w:val="20"/>
        </w:rPr>
        <w:t>(</w:t>
      </w:r>
      <m:oMath>
        <m:sSub>
          <m:sSubPr>
            <m:ctrlPr>
              <w:rPr>
                <w:rFonts w:ascii="Cambria Math" w:hAnsi="Cambria Math"/>
                <w:i/>
                <w:sz w:val="20"/>
                <w:szCs w:val="20"/>
              </w:rPr>
            </m:ctrlPr>
          </m:sSubPr>
          <m:e>
            <m:r>
              <w:rPr>
                <w:rFonts w:ascii="Cambria Math" w:hAnsi="Cambria Math"/>
                <w:sz w:val="20"/>
                <w:szCs w:val="20"/>
              </w:rPr>
              <m:t>Caso</m:t>
            </m:r>
          </m:e>
          <m:sub>
            <m:r>
              <w:rPr>
                <w:rFonts w:ascii="Cambria Math" w:hAnsi="Cambria Math"/>
                <w:sz w:val="20"/>
                <w:szCs w:val="20"/>
              </w:rPr>
              <m:t>4</m:t>
            </m:r>
          </m:sub>
        </m:sSub>
        <m:r>
          <w:rPr>
            <w:rFonts w:ascii="Cambria Math" w:hAnsi="Cambria Math"/>
            <w:sz w:val="20"/>
            <w:szCs w:val="20"/>
          </w:rPr>
          <m:t>).</m:t>
        </m:r>
      </m:oMath>
      <w:r w:rsidR="00854E2F">
        <w:rPr>
          <w:rFonts w:asciiTheme="minorBidi" w:eastAsiaTheme="minorEastAsia" w:hAnsiTheme="minorBidi"/>
          <w:sz w:val="20"/>
          <w:szCs w:val="20"/>
        </w:rPr>
        <w:t xml:space="preserve"> Garam yang dihasilkan pada metode maduris yaitu garam kualitas 3 dengan Kadar NaCl &lt;90%.</w:t>
      </w:r>
    </w:p>
    <w:p w:rsidR="00C741E1" w:rsidRPr="00C741E1" w:rsidRDefault="00C741E1" w:rsidP="00F64C48">
      <w:pPr>
        <w:jc w:val="both"/>
        <w:rPr>
          <w:rFonts w:asciiTheme="majorBidi" w:hAnsiTheme="majorBidi" w:cstheme="majorBidi"/>
          <w:sz w:val="24"/>
          <w:szCs w:val="24"/>
        </w:rPr>
      </w:pPr>
      <w:r>
        <w:rPr>
          <w:rFonts w:asciiTheme="minorBidi" w:eastAsiaTheme="minorEastAsia" w:hAnsiTheme="minorBidi"/>
          <w:sz w:val="20"/>
          <w:szCs w:val="20"/>
        </w:rPr>
        <w:t xml:space="preserve">Magnesium (Mg) yang masuk kedalam </w:t>
      </w:r>
      <w:proofErr w:type="gramStart"/>
      <w:r>
        <w:rPr>
          <w:rFonts w:asciiTheme="minorBidi" w:eastAsiaTheme="minorEastAsia" w:hAnsiTheme="minorBidi"/>
          <w:sz w:val="20"/>
          <w:szCs w:val="20"/>
        </w:rPr>
        <w:t>perairan  dengan</w:t>
      </w:r>
      <w:proofErr w:type="gramEnd"/>
      <w:r>
        <w:rPr>
          <w:rFonts w:asciiTheme="minorBidi" w:eastAsiaTheme="minorEastAsia" w:hAnsiTheme="minorBidi"/>
          <w:sz w:val="20"/>
          <w:szCs w:val="20"/>
        </w:rPr>
        <w:t xml:space="preserve"> konsentrasi yang tinggi dapat menyebabkan tingginya kesadahan air. Kandungan magnesium pada </w:t>
      </w:r>
      <w:r w:rsidR="006123DD">
        <w:rPr>
          <w:rFonts w:asciiTheme="minorBidi" w:eastAsiaTheme="minorEastAsia" w:hAnsiTheme="minorBidi"/>
          <w:sz w:val="20"/>
          <w:szCs w:val="20"/>
        </w:rPr>
        <w:t>air bahan baku yang ter</w:t>
      </w:r>
      <w:r w:rsidR="005C44B6">
        <w:rPr>
          <w:rFonts w:asciiTheme="minorBidi" w:eastAsiaTheme="minorEastAsia" w:hAnsiTheme="minorBidi"/>
          <w:sz w:val="20"/>
          <w:szCs w:val="20"/>
        </w:rPr>
        <w:t>dapat pada perairan pamekasan yang berlokasi di kecamatan Tlanakan yaitu 0,2584 mg/L dan di Kecamatan Bunder yaitu 0,2929 mg/L. Kandungan Magnesium yang terdapat pada perairan Sumenep yang terletak pada kalianget barat yaitu 0,1664 mg/L dan di Daerrah Gapura yaitu 0,2239 mg/L. Kandungan Magnesium pada air laut di daerah Sampang yaitu 384,63 mg/L.</w:t>
      </w:r>
      <w:r w:rsidR="005C44B6" w:rsidRPr="005C44B6">
        <w:rPr>
          <w:rFonts w:asciiTheme="minorBidi" w:eastAsiaTheme="minorEastAsia" w:hAnsiTheme="minorBidi"/>
          <w:sz w:val="20"/>
          <w:szCs w:val="20"/>
        </w:rPr>
        <w:t xml:space="preserve"> </w:t>
      </w:r>
      <w:r w:rsidR="005C44B6">
        <w:rPr>
          <w:rFonts w:asciiTheme="minorBidi" w:eastAsiaTheme="minorEastAsia" w:hAnsiTheme="minorBidi"/>
          <w:sz w:val="20"/>
          <w:szCs w:val="20"/>
        </w:rPr>
        <w:t>Tingginya kesadahan pada perairan dapat menimbulkan pengaruh terhadap pertumbuhan ikan di perairan (Agustin 2001).</w:t>
      </w:r>
    </w:p>
    <w:p w:rsidR="007A6505" w:rsidRPr="007A6505" w:rsidRDefault="007A6505" w:rsidP="007A6505">
      <w:pPr>
        <w:rPr>
          <w:rFonts w:asciiTheme="majorBidi" w:hAnsiTheme="majorBidi" w:cstheme="majorBidi"/>
          <w:sz w:val="24"/>
          <w:szCs w:val="24"/>
        </w:rPr>
      </w:pPr>
    </w:p>
    <w:p w:rsidR="00000759" w:rsidRDefault="00B52767" w:rsidP="00000759">
      <w:pPr>
        <w:jc w:val="center"/>
        <w:rPr>
          <w:rFonts w:asciiTheme="minorBidi" w:hAnsiTheme="minorBidi"/>
          <w:b/>
          <w:bCs/>
          <w:sz w:val="20"/>
          <w:szCs w:val="20"/>
        </w:rPr>
      </w:pPr>
      <w:r>
        <w:rPr>
          <w:rFonts w:asciiTheme="minorBidi" w:hAnsiTheme="minorBidi"/>
          <w:b/>
          <w:bCs/>
          <w:sz w:val="20"/>
          <w:szCs w:val="20"/>
        </w:rPr>
        <w:t>MATERI DAN METODE</w:t>
      </w:r>
    </w:p>
    <w:p w:rsidR="00B52767" w:rsidRPr="00BB49C7" w:rsidRDefault="00B52767" w:rsidP="00B52767">
      <w:pPr>
        <w:jc w:val="both"/>
        <w:rPr>
          <w:rFonts w:asciiTheme="minorBidi" w:hAnsiTheme="minorBidi"/>
          <w:b/>
          <w:bCs/>
          <w:sz w:val="20"/>
          <w:szCs w:val="20"/>
        </w:rPr>
      </w:pPr>
      <w:r>
        <w:rPr>
          <w:rFonts w:asciiTheme="minorBidi" w:hAnsiTheme="minorBidi"/>
          <w:b/>
          <w:bCs/>
          <w:sz w:val="20"/>
          <w:szCs w:val="20"/>
        </w:rPr>
        <w:t xml:space="preserve">Waktu dan </w:t>
      </w:r>
      <w:r w:rsidRPr="00BB49C7">
        <w:rPr>
          <w:rFonts w:asciiTheme="minorBidi" w:hAnsiTheme="minorBidi"/>
          <w:b/>
          <w:bCs/>
          <w:sz w:val="20"/>
          <w:szCs w:val="20"/>
        </w:rPr>
        <w:t>Tempat</w:t>
      </w:r>
    </w:p>
    <w:p w:rsidR="00B52767" w:rsidRPr="00CA6C06" w:rsidRDefault="00B52767" w:rsidP="00CA6C06">
      <w:pPr>
        <w:spacing w:line="360" w:lineRule="auto"/>
        <w:jc w:val="both"/>
        <w:rPr>
          <w:rFonts w:asciiTheme="minorBidi" w:hAnsiTheme="minorBidi"/>
          <w:sz w:val="20"/>
          <w:szCs w:val="20"/>
        </w:rPr>
      </w:pPr>
      <w:proofErr w:type="gramStart"/>
      <w:r w:rsidRPr="00BB49C7">
        <w:rPr>
          <w:rFonts w:asciiTheme="minorBidi" w:hAnsiTheme="minorBidi"/>
          <w:sz w:val="20"/>
          <w:szCs w:val="20"/>
        </w:rPr>
        <w:t>Penelitian dilaksanakan pada 9 September 2021, pengambilan sampel garam ditambak PT.Garam Persero Pamekasan yang berlokasi di Desa Capak, Kecamatan Galis, Kabupaten Pamekasan.</w:t>
      </w:r>
      <w:proofErr w:type="gramEnd"/>
      <w:r w:rsidRPr="00BB49C7">
        <w:rPr>
          <w:rFonts w:asciiTheme="minorBidi" w:hAnsiTheme="minorBidi"/>
          <w:sz w:val="20"/>
          <w:szCs w:val="20"/>
        </w:rPr>
        <w:t xml:space="preserve"> Analisa </w:t>
      </w:r>
      <w:proofErr w:type="gramStart"/>
      <w:r w:rsidRPr="00BB49C7">
        <w:rPr>
          <w:rFonts w:asciiTheme="minorBidi" w:hAnsiTheme="minorBidi"/>
          <w:sz w:val="20"/>
          <w:szCs w:val="20"/>
        </w:rPr>
        <w:t>kadar</w:t>
      </w:r>
      <w:proofErr w:type="gramEnd"/>
      <w:r w:rsidRPr="00BB49C7">
        <w:rPr>
          <w:rFonts w:asciiTheme="minorBidi" w:hAnsiTheme="minorBidi"/>
          <w:sz w:val="20"/>
          <w:szCs w:val="20"/>
        </w:rPr>
        <w:t xml:space="preserve"> Logam Kalsium (Ca) dilakukan di Laboratorium Balai Riset dan Standarisasi Industri Surabaya. Lokasi Pengambilan sampel dapat dilihat pada </w:t>
      </w:r>
      <w:r w:rsidRPr="00BB49C7">
        <w:rPr>
          <w:rFonts w:asciiTheme="minorBidi" w:hAnsiTheme="minorBidi"/>
          <w:b/>
          <w:bCs/>
          <w:sz w:val="20"/>
          <w:szCs w:val="20"/>
        </w:rPr>
        <w:t xml:space="preserve">Gambar.1 </w:t>
      </w:r>
      <w:r w:rsidRPr="00BB49C7">
        <w:rPr>
          <w:rFonts w:asciiTheme="minorBidi" w:hAnsiTheme="minorBidi"/>
          <w:sz w:val="20"/>
          <w:szCs w:val="20"/>
        </w:rPr>
        <w:t xml:space="preserve">Pengambilan sampel </w:t>
      </w:r>
      <w:r>
        <w:rPr>
          <w:rFonts w:asciiTheme="minorBidi" w:hAnsiTheme="minorBidi"/>
          <w:sz w:val="20"/>
          <w:szCs w:val="20"/>
        </w:rPr>
        <w:t>air pada laut, Bozem, Peminihan dan Meja Kristalisasi</w:t>
      </w:r>
      <w:r w:rsidRPr="00BB49C7">
        <w:rPr>
          <w:rFonts w:asciiTheme="minorBidi" w:hAnsiTheme="minorBidi"/>
          <w:sz w:val="20"/>
          <w:szCs w:val="20"/>
        </w:rPr>
        <w:t xml:space="preserve"> d ambil sebanyak sekitar </w:t>
      </w:r>
      <w:r>
        <w:rPr>
          <w:rFonts w:asciiTheme="minorBidi" w:hAnsiTheme="minorBidi"/>
          <w:sz w:val="20"/>
          <w:szCs w:val="20"/>
        </w:rPr>
        <w:t>1</w:t>
      </w:r>
      <w:r w:rsidRPr="00BB49C7">
        <w:rPr>
          <w:rFonts w:asciiTheme="minorBidi" w:hAnsiTheme="minorBidi"/>
          <w:sz w:val="20"/>
          <w:szCs w:val="20"/>
        </w:rPr>
        <w:t xml:space="preserve"> </w:t>
      </w:r>
      <w:r>
        <w:rPr>
          <w:rFonts w:asciiTheme="minorBidi" w:hAnsiTheme="minorBidi"/>
          <w:sz w:val="20"/>
          <w:szCs w:val="20"/>
        </w:rPr>
        <w:t>liter</w:t>
      </w:r>
      <w:r w:rsidRPr="00BB49C7">
        <w:rPr>
          <w:rFonts w:asciiTheme="minorBidi" w:hAnsiTheme="minorBidi"/>
          <w:sz w:val="20"/>
          <w:szCs w:val="20"/>
        </w:rPr>
        <w:t xml:space="preserve"> </w:t>
      </w:r>
      <w:r>
        <w:rPr>
          <w:rFonts w:asciiTheme="minorBidi" w:hAnsiTheme="minorBidi"/>
          <w:sz w:val="20"/>
          <w:szCs w:val="20"/>
        </w:rPr>
        <w:t>air</w:t>
      </w:r>
      <w:r w:rsidRPr="00BB49C7">
        <w:rPr>
          <w:rFonts w:asciiTheme="minorBidi" w:hAnsiTheme="minorBidi"/>
          <w:sz w:val="20"/>
          <w:szCs w:val="20"/>
        </w:rPr>
        <w:t xml:space="preserve"> kemudian dimasukan ke dalam plastik alumunium dan ditutup setelah itu diberi keterangan atau label pada sampel yang diambil</w:t>
      </w:r>
      <w:r>
        <w:rPr>
          <w:rFonts w:asciiTheme="minorBidi" w:hAnsiTheme="minorBidi"/>
          <w:sz w:val="20"/>
          <w:szCs w:val="20"/>
        </w:rPr>
        <w:t>.</w:t>
      </w:r>
    </w:p>
    <w:p w:rsidR="003D03AE" w:rsidRDefault="003D03AE" w:rsidP="00B52767">
      <w:pPr>
        <w:spacing w:after="0" w:line="360" w:lineRule="auto"/>
        <w:ind w:firstLine="720"/>
        <w:jc w:val="center"/>
        <w:rPr>
          <w:rFonts w:asciiTheme="minorBidi" w:hAnsiTheme="minorBidi"/>
          <w:b/>
          <w:bCs/>
          <w:sz w:val="20"/>
          <w:szCs w:val="20"/>
        </w:rPr>
        <w:sectPr w:rsidR="003D03AE" w:rsidSect="003D03AE">
          <w:type w:val="continuous"/>
          <w:pgSz w:w="12240" w:h="15840"/>
          <w:pgMar w:top="1440" w:right="1440" w:bottom="1440" w:left="1440" w:header="708" w:footer="708" w:gutter="0"/>
          <w:cols w:num="2" w:space="708"/>
          <w:docGrid w:linePitch="360"/>
        </w:sectPr>
      </w:pPr>
    </w:p>
    <w:p w:rsidR="00B52767" w:rsidRDefault="00CA6C06" w:rsidP="00B52767">
      <w:pPr>
        <w:spacing w:after="0" w:line="360" w:lineRule="auto"/>
        <w:ind w:firstLine="720"/>
        <w:jc w:val="center"/>
        <w:rPr>
          <w:rFonts w:asciiTheme="minorBidi" w:hAnsiTheme="minorBidi"/>
          <w:b/>
          <w:bCs/>
          <w:sz w:val="20"/>
          <w:szCs w:val="20"/>
        </w:rPr>
      </w:pPr>
      <w:r>
        <w:rPr>
          <w:rFonts w:asciiTheme="minorBidi" w:hAnsiTheme="minorBidi"/>
          <w:b/>
          <w:bCs/>
          <w:noProof/>
          <w:sz w:val="20"/>
          <w:szCs w:val="20"/>
        </w:rPr>
        <w:drawing>
          <wp:inline distT="0" distB="0" distL="0" distR="0" wp14:anchorId="084A8341" wp14:editId="2D9A0578">
            <wp:extent cx="4095750" cy="3165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7449" cy="3166330"/>
                    </a:xfrm>
                    <a:prstGeom prst="rect">
                      <a:avLst/>
                    </a:prstGeom>
                  </pic:spPr>
                </pic:pic>
              </a:graphicData>
            </a:graphic>
          </wp:inline>
        </w:drawing>
      </w:r>
    </w:p>
    <w:p w:rsidR="00B52767" w:rsidRDefault="00B52767" w:rsidP="00B52767">
      <w:pPr>
        <w:spacing w:after="0" w:line="360" w:lineRule="auto"/>
        <w:ind w:firstLine="720"/>
        <w:jc w:val="center"/>
        <w:rPr>
          <w:rFonts w:asciiTheme="minorBidi" w:hAnsiTheme="minorBidi"/>
          <w:b/>
          <w:bCs/>
          <w:sz w:val="20"/>
          <w:szCs w:val="20"/>
        </w:rPr>
      </w:pPr>
      <w:r w:rsidRPr="00BB49C7">
        <w:rPr>
          <w:rFonts w:asciiTheme="minorBidi" w:hAnsiTheme="minorBidi"/>
          <w:b/>
          <w:bCs/>
          <w:sz w:val="20"/>
          <w:szCs w:val="20"/>
        </w:rPr>
        <w:t>Gambar.1 Peta Lokasi Pengambilan Sampel</w:t>
      </w:r>
    </w:p>
    <w:p w:rsidR="00B52767" w:rsidRDefault="00B52767" w:rsidP="00000759">
      <w:pPr>
        <w:jc w:val="center"/>
        <w:rPr>
          <w:rFonts w:asciiTheme="minorBidi" w:hAnsiTheme="minorBidi"/>
          <w:b/>
          <w:bCs/>
          <w:sz w:val="20"/>
          <w:szCs w:val="20"/>
        </w:rPr>
      </w:pPr>
    </w:p>
    <w:p w:rsidR="00B52767" w:rsidRPr="00BB49C7" w:rsidRDefault="00B52767" w:rsidP="00B52767">
      <w:pPr>
        <w:spacing w:line="360" w:lineRule="auto"/>
        <w:jc w:val="both"/>
        <w:rPr>
          <w:rFonts w:asciiTheme="minorBidi" w:hAnsiTheme="minorBidi"/>
          <w:b/>
          <w:bCs/>
          <w:sz w:val="20"/>
          <w:szCs w:val="20"/>
        </w:rPr>
      </w:pPr>
      <w:r w:rsidRPr="00BB49C7">
        <w:rPr>
          <w:rFonts w:asciiTheme="minorBidi" w:hAnsiTheme="minorBidi"/>
          <w:b/>
          <w:bCs/>
          <w:sz w:val="20"/>
          <w:szCs w:val="20"/>
        </w:rPr>
        <w:t>Alat dan Bahan</w:t>
      </w:r>
    </w:p>
    <w:p w:rsidR="00B52767" w:rsidRPr="00BB49C7" w:rsidRDefault="00B52767" w:rsidP="00B52767">
      <w:pPr>
        <w:spacing w:line="360" w:lineRule="auto"/>
        <w:ind w:firstLine="720"/>
        <w:jc w:val="both"/>
        <w:rPr>
          <w:rFonts w:asciiTheme="minorBidi" w:hAnsiTheme="minorBidi"/>
          <w:b/>
          <w:bCs/>
          <w:sz w:val="20"/>
          <w:szCs w:val="20"/>
        </w:rPr>
      </w:pPr>
      <w:proofErr w:type="gramStart"/>
      <w:r w:rsidRPr="00BB49C7">
        <w:rPr>
          <w:rFonts w:asciiTheme="minorBidi" w:hAnsiTheme="minorBidi"/>
          <w:sz w:val="20"/>
          <w:szCs w:val="20"/>
        </w:rPr>
        <w:t xml:space="preserve">Alat dan bahan yang digunakan dalam penelitian ini dapat di tampilkan pada </w:t>
      </w:r>
      <w:r w:rsidRPr="00BB49C7">
        <w:rPr>
          <w:rFonts w:asciiTheme="minorBidi" w:hAnsiTheme="minorBidi"/>
          <w:b/>
          <w:bCs/>
          <w:sz w:val="20"/>
          <w:szCs w:val="20"/>
        </w:rPr>
        <w:t>Tabel 1.</w:t>
      </w:r>
      <w:proofErr w:type="gramEnd"/>
      <w:r w:rsidRPr="00BB49C7">
        <w:rPr>
          <w:rFonts w:asciiTheme="minorBidi" w:hAnsiTheme="minorBidi"/>
          <w:b/>
          <w:bCs/>
          <w:sz w:val="20"/>
          <w:szCs w:val="20"/>
        </w:rPr>
        <w:t xml:space="preserve"> </w:t>
      </w:r>
      <w:proofErr w:type="gramStart"/>
      <w:r w:rsidRPr="00BB49C7">
        <w:rPr>
          <w:rFonts w:asciiTheme="minorBidi" w:hAnsiTheme="minorBidi"/>
          <w:sz w:val="20"/>
          <w:szCs w:val="20"/>
        </w:rPr>
        <w:t>dan</w:t>
      </w:r>
      <w:proofErr w:type="gramEnd"/>
      <w:r w:rsidRPr="00BB49C7">
        <w:rPr>
          <w:rFonts w:asciiTheme="minorBidi" w:hAnsiTheme="minorBidi"/>
          <w:sz w:val="20"/>
          <w:szCs w:val="20"/>
        </w:rPr>
        <w:t xml:space="preserve"> Bahan yang digunakan dalam penelitian dapar ditampilkan pada </w:t>
      </w:r>
      <w:r w:rsidRPr="00BB49C7">
        <w:rPr>
          <w:rFonts w:asciiTheme="minorBidi" w:hAnsiTheme="minorBidi"/>
          <w:b/>
          <w:bCs/>
          <w:sz w:val="20"/>
          <w:szCs w:val="20"/>
        </w:rPr>
        <w:t xml:space="preserve">Tabel 2. </w:t>
      </w:r>
    </w:p>
    <w:p w:rsidR="00B52767" w:rsidRPr="00BB49C7" w:rsidRDefault="00B52767" w:rsidP="00B52767">
      <w:pPr>
        <w:spacing w:after="0" w:line="360" w:lineRule="auto"/>
        <w:jc w:val="both"/>
        <w:rPr>
          <w:rFonts w:asciiTheme="minorBidi" w:hAnsiTheme="minorBidi"/>
          <w:sz w:val="20"/>
          <w:szCs w:val="20"/>
        </w:rPr>
      </w:pPr>
      <w:proofErr w:type="gramStart"/>
      <w:r w:rsidRPr="00BB49C7">
        <w:rPr>
          <w:rFonts w:asciiTheme="minorBidi" w:hAnsiTheme="minorBidi"/>
          <w:b/>
          <w:bCs/>
          <w:sz w:val="20"/>
          <w:szCs w:val="20"/>
        </w:rPr>
        <w:t>Tabel 1.</w:t>
      </w:r>
      <w:proofErr w:type="gramEnd"/>
      <w:r w:rsidRPr="00BB49C7">
        <w:rPr>
          <w:rFonts w:asciiTheme="minorBidi" w:hAnsiTheme="minorBidi"/>
          <w:b/>
          <w:bCs/>
          <w:sz w:val="20"/>
          <w:szCs w:val="20"/>
        </w:rPr>
        <w:t xml:space="preserve"> </w:t>
      </w:r>
      <w:r w:rsidRPr="00BB49C7">
        <w:rPr>
          <w:rFonts w:asciiTheme="minorBidi" w:hAnsiTheme="minorBidi"/>
          <w:sz w:val="20"/>
          <w:szCs w:val="20"/>
        </w:rPr>
        <w:t>Alat yang digunakan dalam Penelitian</w:t>
      </w:r>
    </w:p>
    <w:tbl>
      <w:tblPr>
        <w:tblW w:w="0" w:type="auto"/>
        <w:tblInd w:w="250" w:type="dxa"/>
        <w:tblBorders>
          <w:top w:val="single" w:sz="4" w:space="0" w:color="auto"/>
          <w:bottom w:val="single" w:sz="4" w:space="0" w:color="auto"/>
          <w:right w:val="single" w:sz="4" w:space="0" w:color="auto"/>
        </w:tblBorders>
        <w:tblLook w:val="04A0" w:firstRow="1" w:lastRow="0" w:firstColumn="1" w:lastColumn="0" w:noHBand="0" w:noVBand="1"/>
      </w:tblPr>
      <w:tblGrid>
        <w:gridCol w:w="495"/>
        <w:gridCol w:w="4487"/>
        <w:gridCol w:w="4344"/>
      </w:tblGrid>
      <w:tr w:rsidR="00B52767" w:rsidRPr="00E65DEE" w:rsidTr="00B52767">
        <w:tc>
          <w:tcPr>
            <w:tcW w:w="284" w:type="dxa"/>
            <w:tcBorders>
              <w:top w:val="single" w:sz="4" w:space="0" w:color="auto"/>
              <w:bottom w:val="single" w:sz="4" w:space="0" w:color="auto"/>
            </w:tcBorders>
          </w:tcPr>
          <w:p w:rsidR="00B52767" w:rsidRPr="00B52767" w:rsidRDefault="00B52767" w:rsidP="000452AC">
            <w:pPr>
              <w:spacing w:line="240" w:lineRule="auto"/>
              <w:jc w:val="both"/>
              <w:rPr>
                <w:rFonts w:ascii="Arial" w:hAnsi="Arial" w:cs="Arial"/>
                <w:b/>
                <w:bCs/>
                <w:sz w:val="20"/>
                <w:szCs w:val="20"/>
              </w:rPr>
            </w:pPr>
            <w:r w:rsidRPr="00B52767">
              <w:rPr>
                <w:rFonts w:ascii="Arial" w:hAnsi="Arial" w:cs="Arial"/>
                <w:b/>
                <w:bCs/>
                <w:sz w:val="20"/>
                <w:szCs w:val="20"/>
              </w:rPr>
              <w:t>No</w:t>
            </w:r>
          </w:p>
        </w:tc>
        <w:tc>
          <w:tcPr>
            <w:tcW w:w="4536" w:type="dxa"/>
            <w:tcBorders>
              <w:top w:val="single" w:sz="4" w:space="0" w:color="auto"/>
              <w:bottom w:val="single" w:sz="4" w:space="0" w:color="auto"/>
            </w:tcBorders>
          </w:tcPr>
          <w:p w:rsidR="00B52767" w:rsidRPr="00B52767" w:rsidRDefault="00B52767" w:rsidP="000452AC">
            <w:pPr>
              <w:spacing w:line="240" w:lineRule="auto"/>
              <w:jc w:val="both"/>
              <w:rPr>
                <w:rFonts w:ascii="Arial" w:hAnsi="Arial" w:cs="Arial"/>
                <w:b/>
                <w:bCs/>
                <w:sz w:val="20"/>
                <w:szCs w:val="20"/>
              </w:rPr>
            </w:pPr>
            <w:r w:rsidRPr="00B52767">
              <w:rPr>
                <w:rFonts w:ascii="Arial" w:hAnsi="Arial" w:cs="Arial"/>
                <w:b/>
                <w:bCs/>
                <w:sz w:val="20"/>
                <w:szCs w:val="20"/>
              </w:rPr>
              <w:t>Nama Alat</w:t>
            </w:r>
          </w:p>
        </w:tc>
        <w:tc>
          <w:tcPr>
            <w:tcW w:w="4394" w:type="dxa"/>
            <w:tcBorders>
              <w:top w:val="single" w:sz="4" w:space="0" w:color="auto"/>
              <w:bottom w:val="single" w:sz="4" w:space="0" w:color="auto"/>
              <w:right w:val="nil"/>
            </w:tcBorders>
          </w:tcPr>
          <w:p w:rsidR="00B52767" w:rsidRPr="00B52767" w:rsidRDefault="00B52767" w:rsidP="000452AC">
            <w:pPr>
              <w:spacing w:line="240" w:lineRule="auto"/>
              <w:jc w:val="both"/>
              <w:rPr>
                <w:rFonts w:ascii="Arial" w:hAnsi="Arial" w:cs="Arial"/>
                <w:b/>
                <w:bCs/>
                <w:sz w:val="20"/>
                <w:szCs w:val="20"/>
              </w:rPr>
            </w:pPr>
            <w:r w:rsidRPr="00B52767">
              <w:rPr>
                <w:rFonts w:ascii="Arial" w:hAnsi="Arial" w:cs="Arial"/>
                <w:b/>
                <w:bCs/>
                <w:sz w:val="20"/>
                <w:szCs w:val="20"/>
              </w:rPr>
              <w:t>Kegunaan</w:t>
            </w:r>
          </w:p>
        </w:tc>
      </w:tr>
      <w:tr w:rsidR="00B52767" w:rsidRPr="00E65DEE" w:rsidTr="00B52767">
        <w:tc>
          <w:tcPr>
            <w:tcW w:w="284" w:type="dxa"/>
            <w:tcBorders>
              <w:top w:val="single" w:sz="4" w:space="0" w:color="auto"/>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w:t>
            </w:r>
          </w:p>
        </w:tc>
        <w:tc>
          <w:tcPr>
            <w:tcW w:w="4536" w:type="dxa"/>
            <w:tcBorders>
              <w:top w:val="single" w:sz="4" w:space="0" w:color="auto"/>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Water Sampler</w:t>
            </w:r>
          </w:p>
        </w:tc>
        <w:tc>
          <w:tcPr>
            <w:tcW w:w="4394" w:type="dxa"/>
            <w:tcBorders>
              <w:top w:val="single" w:sz="4" w:space="0" w:color="auto"/>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Untuk mengambil sampel air</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2.</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 xml:space="preserve">Sekop </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Untuk mengambil sampel sedimen</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3.</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Alumunium Pack</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Wadah sampel</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4.</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Spektofotometer Serapan Atom</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Untuk menentukan unsur-unsur logam</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5.</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Hot Plate</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Untuk memanaskan sampel</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6.</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Gelas Piala</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Wadah Sampel</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7.</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Gelas Ukur</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Wadah untuk mengukur jumlah sampel yang dibutuhkan untuk dianalisa</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8.</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Corong Gelas</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 xml:space="preserve">Untuk proses penyaringan </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9.</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Labu ukur 100 mL dan 1000 Ml</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Wadah sampel</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10.</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Tabung Reaksi</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Wadah melakukan reaksi kimia</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11.</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Gelas Beaker 250mL</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Wadah sampel sedimen</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12.</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Mortar dan Alu</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Untuk menghaluskan sampel sedimen</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13.</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Pipet volume</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Untuk mengambil larutan dengan volume tertentu</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14.</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Timbangan Analitik</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Menimbang sampel</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15</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Lemari Asam</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untuk mereaksikan sampel</w:t>
            </w:r>
          </w:p>
        </w:tc>
      </w:tr>
      <w:tr w:rsidR="00B52767" w:rsidRPr="00E65DEE" w:rsidTr="00B52767">
        <w:tc>
          <w:tcPr>
            <w:tcW w:w="284"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16.</w:t>
            </w:r>
          </w:p>
        </w:tc>
        <w:tc>
          <w:tcPr>
            <w:tcW w:w="4536" w:type="dxa"/>
            <w:tcBorders>
              <w:top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Erlenmeyer</w:t>
            </w:r>
          </w:p>
        </w:tc>
        <w:tc>
          <w:tcPr>
            <w:tcW w:w="4394" w:type="dxa"/>
            <w:tcBorders>
              <w:top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Wadah sampel</w:t>
            </w:r>
          </w:p>
        </w:tc>
      </w:tr>
      <w:tr w:rsidR="00B52767" w:rsidRPr="00E65DEE" w:rsidTr="00B52767">
        <w:tc>
          <w:tcPr>
            <w:tcW w:w="284" w:type="dxa"/>
            <w:tcBorders>
              <w:top w:val="nil"/>
              <w:bottom w:val="single" w:sz="4" w:space="0" w:color="auto"/>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17.</w:t>
            </w:r>
          </w:p>
        </w:tc>
        <w:tc>
          <w:tcPr>
            <w:tcW w:w="4536" w:type="dxa"/>
            <w:tcBorders>
              <w:top w:val="nil"/>
              <w:bottom w:val="single" w:sz="4" w:space="0" w:color="auto"/>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Labu semprot</w:t>
            </w:r>
          </w:p>
        </w:tc>
        <w:tc>
          <w:tcPr>
            <w:tcW w:w="4394" w:type="dxa"/>
            <w:tcBorders>
              <w:top w:val="nil"/>
              <w:bottom w:val="single" w:sz="4" w:space="0" w:color="auto"/>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Membersihkan alat yang telah digunakan</w:t>
            </w:r>
          </w:p>
        </w:tc>
      </w:tr>
    </w:tbl>
    <w:p w:rsidR="00B52767" w:rsidRDefault="00B52767" w:rsidP="00B52767">
      <w:pPr>
        <w:spacing w:line="240" w:lineRule="auto"/>
        <w:jc w:val="both"/>
        <w:rPr>
          <w:rFonts w:ascii="Arial" w:hAnsi="Arial" w:cs="Arial"/>
          <w:b/>
          <w:sz w:val="20"/>
          <w:szCs w:val="20"/>
        </w:rPr>
      </w:pPr>
    </w:p>
    <w:p w:rsidR="00B52767" w:rsidRPr="00E65DEE" w:rsidRDefault="00B52767" w:rsidP="00B52767">
      <w:pPr>
        <w:spacing w:line="240" w:lineRule="auto"/>
        <w:jc w:val="both"/>
        <w:rPr>
          <w:rFonts w:ascii="Arial" w:hAnsi="Arial" w:cs="Arial"/>
          <w:b/>
          <w:sz w:val="20"/>
          <w:szCs w:val="20"/>
        </w:rPr>
      </w:pPr>
      <w:r w:rsidRPr="00E65DEE">
        <w:rPr>
          <w:rFonts w:ascii="Arial" w:hAnsi="Arial" w:cs="Arial"/>
          <w:b/>
          <w:sz w:val="20"/>
          <w:szCs w:val="20"/>
        </w:rPr>
        <w:t>Tabel</w:t>
      </w:r>
      <w:r>
        <w:rPr>
          <w:rFonts w:ascii="Arial" w:hAnsi="Arial" w:cs="Arial"/>
          <w:b/>
          <w:sz w:val="20"/>
          <w:szCs w:val="20"/>
        </w:rPr>
        <w:t>.</w:t>
      </w:r>
      <w:r w:rsidRPr="00E65DEE">
        <w:rPr>
          <w:rFonts w:ascii="Arial" w:hAnsi="Arial" w:cs="Arial"/>
          <w:b/>
          <w:sz w:val="20"/>
          <w:szCs w:val="20"/>
        </w:rPr>
        <w:t xml:space="preserve">2 </w:t>
      </w:r>
      <w:r w:rsidRPr="00B52767">
        <w:rPr>
          <w:rFonts w:ascii="Arial" w:hAnsi="Arial" w:cs="Arial"/>
          <w:bCs/>
          <w:sz w:val="20"/>
          <w:szCs w:val="20"/>
        </w:rPr>
        <w:t>Bahan yang digunakan dalam penelitian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489"/>
        <w:gridCol w:w="4242"/>
      </w:tblGrid>
      <w:tr w:rsidR="00B52767" w:rsidRPr="00E65DEE" w:rsidTr="00925954">
        <w:tc>
          <w:tcPr>
            <w:tcW w:w="483" w:type="dxa"/>
            <w:tcBorders>
              <w:left w:val="nil"/>
              <w:bottom w:val="single" w:sz="4" w:space="0" w:color="auto"/>
              <w:right w:val="nil"/>
            </w:tcBorders>
          </w:tcPr>
          <w:p w:rsidR="00B52767" w:rsidRPr="00B52767" w:rsidRDefault="00B52767" w:rsidP="000452AC">
            <w:pPr>
              <w:spacing w:line="240" w:lineRule="auto"/>
              <w:jc w:val="both"/>
              <w:rPr>
                <w:rFonts w:ascii="Arial" w:hAnsi="Arial" w:cs="Arial"/>
                <w:b/>
                <w:bCs/>
                <w:sz w:val="20"/>
                <w:szCs w:val="20"/>
              </w:rPr>
            </w:pPr>
            <w:r w:rsidRPr="00B52767">
              <w:rPr>
                <w:rFonts w:ascii="Arial" w:hAnsi="Arial" w:cs="Arial"/>
                <w:b/>
                <w:bCs/>
                <w:sz w:val="20"/>
                <w:szCs w:val="20"/>
              </w:rPr>
              <w:t>No</w:t>
            </w:r>
          </w:p>
        </w:tc>
        <w:tc>
          <w:tcPr>
            <w:tcW w:w="4489" w:type="dxa"/>
            <w:tcBorders>
              <w:left w:val="nil"/>
              <w:bottom w:val="single" w:sz="4" w:space="0" w:color="auto"/>
              <w:right w:val="nil"/>
            </w:tcBorders>
          </w:tcPr>
          <w:p w:rsidR="00B52767" w:rsidRPr="00B52767" w:rsidRDefault="00B52767" w:rsidP="000452AC">
            <w:pPr>
              <w:spacing w:line="240" w:lineRule="auto"/>
              <w:jc w:val="both"/>
              <w:rPr>
                <w:rFonts w:ascii="Arial" w:hAnsi="Arial" w:cs="Arial"/>
                <w:b/>
                <w:bCs/>
                <w:sz w:val="20"/>
                <w:szCs w:val="20"/>
              </w:rPr>
            </w:pPr>
            <w:r w:rsidRPr="00B52767">
              <w:rPr>
                <w:rFonts w:ascii="Arial" w:hAnsi="Arial" w:cs="Arial"/>
                <w:b/>
                <w:bCs/>
                <w:sz w:val="20"/>
                <w:szCs w:val="20"/>
              </w:rPr>
              <w:t>Nama Bahan</w:t>
            </w:r>
          </w:p>
        </w:tc>
        <w:tc>
          <w:tcPr>
            <w:tcW w:w="4242" w:type="dxa"/>
            <w:tcBorders>
              <w:left w:val="nil"/>
              <w:bottom w:val="single" w:sz="4" w:space="0" w:color="auto"/>
              <w:right w:val="nil"/>
            </w:tcBorders>
          </w:tcPr>
          <w:p w:rsidR="00B52767" w:rsidRPr="00B52767" w:rsidRDefault="00B52767" w:rsidP="000452AC">
            <w:pPr>
              <w:spacing w:line="240" w:lineRule="auto"/>
              <w:jc w:val="both"/>
              <w:rPr>
                <w:rFonts w:ascii="Arial" w:hAnsi="Arial" w:cs="Arial"/>
                <w:b/>
                <w:bCs/>
                <w:sz w:val="20"/>
                <w:szCs w:val="20"/>
              </w:rPr>
            </w:pPr>
            <w:r w:rsidRPr="00B52767">
              <w:rPr>
                <w:rFonts w:ascii="Arial" w:hAnsi="Arial" w:cs="Arial"/>
                <w:b/>
                <w:bCs/>
                <w:sz w:val="20"/>
                <w:szCs w:val="20"/>
              </w:rPr>
              <w:t>Kegunaan</w:t>
            </w:r>
          </w:p>
        </w:tc>
      </w:tr>
      <w:tr w:rsidR="00B52767" w:rsidRPr="00E65DEE" w:rsidTr="00B52767">
        <w:tc>
          <w:tcPr>
            <w:tcW w:w="483" w:type="dxa"/>
            <w:tcBorders>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w:t>
            </w:r>
          </w:p>
        </w:tc>
        <w:tc>
          <w:tcPr>
            <w:tcW w:w="4489" w:type="dxa"/>
            <w:tcBorders>
              <w:left w:val="nil"/>
              <w:bottom w:val="nil"/>
              <w:right w:val="nil"/>
            </w:tcBorders>
          </w:tcPr>
          <w:p w:rsidR="00B52767" w:rsidRPr="00E65DEE" w:rsidRDefault="00B52767" w:rsidP="000452AC">
            <w:pPr>
              <w:spacing w:line="240" w:lineRule="auto"/>
              <w:jc w:val="both"/>
              <w:rPr>
                <w:rFonts w:ascii="Arial" w:hAnsi="Arial" w:cs="Arial"/>
                <w:sz w:val="20"/>
                <w:szCs w:val="20"/>
              </w:rPr>
            </w:pPr>
            <w:r>
              <w:rPr>
                <w:rFonts w:ascii="Arial" w:hAnsi="Arial" w:cs="Arial"/>
                <w:sz w:val="20"/>
                <w:szCs w:val="20"/>
              </w:rPr>
              <w:t>Air Bahan Baku</w:t>
            </w:r>
          </w:p>
        </w:tc>
        <w:tc>
          <w:tcPr>
            <w:tcW w:w="4242" w:type="dxa"/>
            <w:tcBorders>
              <w:left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Sampel analisa</w:t>
            </w:r>
          </w:p>
        </w:tc>
      </w:tr>
      <w:tr w:rsidR="00B52767" w:rsidRPr="00E65DEE" w:rsidTr="00B52767">
        <w:tc>
          <w:tcPr>
            <w:tcW w:w="483"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2.</w:t>
            </w:r>
          </w:p>
        </w:tc>
        <w:tc>
          <w:tcPr>
            <w:tcW w:w="4489"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Air Bouzem</w:t>
            </w:r>
          </w:p>
        </w:tc>
        <w:tc>
          <w:tcPr>
            <w:tcW w:w="4242" w:type="dxa"/>
            <w:tcBorders>
              <w:top w:val="nil"/>
              <w:left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Sampel analisa</w:t>
            </w:r>
          </w:p>
        </w:tc>
      </w:tr>
      <w:tr w:rsidR="00B52767" w:rsidRPr="00E65DEE" w:rsidTr="00B52767">
        <w:tc>
          <w:tcPr>
            <w:tcW w:w="483"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3.</w:t>
            </w:r>
          </w:p>
        </w:tc>
        <w:tc>
          <w:tcPr>
            <w:tcW w:w="4489"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Air Peminihan</w:t>
            </w:r>
          </w:p>
        </w:tc>
        <w:tc>
          <w:tcPr>
            <w:tcW w:w="4242" w:type="dxa"/>
            <w:tcBorders>
              <w:top w:val="nil"/>
              <w:left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Sampel analisa</w:t>
            </w:r>
          </w:p>
        </w:tc>
      </w:tr>
      <w:tr w:rsidR="00B52767" w:rsidRPr="00E65DEE" w:rsidTr="00B52767">
        <w:tc>
          <w:tcPr>
            <w:tcW w:w="483"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4.</w:t>
            </w:r>
          </w:p>
        </w:tc>
        <w:tc>
          <w:tcPr>
            <w:tcW w:w="4489"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Air Meja Kristalisasi Tanah</w:t>
            </w:r>
          </w:p>
        </w:tc>
        <w:tc>
          <w:tcPr>
            <w:tcW w:w="4242" w:type="dxa"/>
            <w:tcBorders>
              <w:top w:val="nil"/>
              <w:left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Sampel analisa</w:t>
            </w:r>
          </w:p>
        </w:tc>
      </w:tr>
      <w:tr w:rsidR="00B52767" w:rsidRPr="00E65DEE" w:rsidTr="00B52767">
        <w:tc>
          <w:tcPr>
            <w:tcW w:w="483"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5.</w:t>
            </w:r>
          </w:p>
        </w:tc>
        <w:tc>
          <w:tcPr>
            <w:tcW w:w="4489"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Kertas Saring</w:t>
            </w:r>
          </w:p>
        </w:tc>
        <w:tc>
          <w:tcPr>
            <w:tcW w:w="4242" w:type="dxa"/>
            <w:tcBorders>
              <w:top w:val="nil"/>
              <w:left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Menyaring sampel</w:t>
            </w:r>
          </w:p>
        </w:tc>
      </w:tr>
      <w:tr w:rsidR="00B52767" w:rsidRPr="00E65DEE" w:rsidTr="00B52767">
        <w:tc>
          <w:tcPr>
            <w:tcW w:w="483"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6.</w:t>
            </w:r>
          </w:p>
        </w:tc>
        <w:tc>
          <w:tcPr>
            <w:tcW w:w="4489"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Aquades</w:t>
            </w:r>
          </w:p>
        </w:tc>
        <w:tc>
          <w:tcPr>
            <w:tcW w:w="4242" w:type="dxa"/>
            <w:tcBorders>
              <w:top w:val="nil"/>
              <w:left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 xml:space="preserve">Larutan pengencer </w:t>
            </w:r>
          </w:p>
        </w:tc>
      </w:tr>
      <w:tr w:rsidR="00B52767" w:rsidRPr="00E65DEE" w:rsidTr="00B52767">
        <w:tc>
          <w:tcPr>
            <w:tcW w:w="483"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7.</w:t>
            </w:r>
          </w:p>
        </w:tc>
        <w:tc>
          <w:tcPr>
            <w:tcW w:w="4489"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 xml:space="preserve">Asam klorida </w:t>
            </w:r>
          </w:p>
        </w:tc>
        <w:tc>
          <w:tcPr>
            <w:tcW w:w="4242" w:type="dxa"/>
            <w:tcBorders>
              <w:top w:val="nil"/>
              <w:left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Bahan analisa Ca</w:t>
            </w:r>
          </w:p>
        </w:tc>
      </w:tr>
      <w:tr w:rsidR="00B52767" w:rsidRPr="00E65DEE" w:rsidTr="00B52767">
        <w:tc>
          <w:tcPr>
            <w:tcW w:w="483"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8.</w:t>
            </w:r>
          </w:p>
        </w:tc>
        <w:tc>
          <w:tcPr>
            <w:tcW w:w="4489"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Lantan Klorida (LaCl3) (50g/L)</w:t>
            </w:r>
          </w:p>
        </w:tc>
        <w:tc>
          <w:tcPr>
            <w:tcW w:w="4242" w:type="dxa"/>
            <w:tcBorders>
              <w:top w:val="nil"/>
              <w:left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Bahan analisa Ca</w:t>
            </w:r>
          </w:p>
        </w:tc>
      </w:tr>
      <w:tr w:rsidR="00B52767" w:rsidRPr="00E65DEE" w:rsidTr="00B52767">
        <w:tc>
          <w:tcPr>
            <w:tcW w:w="483"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9.</w:t>
            </w:r>
          </w:p>
        </w:tc>
        <w:tc>
          <w:tcPr>
            <w:tcW w:w="4489" w:type="dxa"/>
            <w:tcBorders>
              <w:top w:val="nil"/>
              <w:left w:val="nil"/>
              <w:bottom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Larutan standar induk 1000 mg/L</w:t>
            </w:r>
          </w:p>
        </w:tc>
        <w:tc>
          <w:tcPr>
            <w:tcW w:w="4242" w:type="dxa"/>
            <w:tcBorders>
              <w:top w:val="nil"/>
              <w:left w:val="nil"/>
              <w:bottom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Bahan analisa Ca</w:t>
            </w:r>
          </w:p>
        </w:tc>
      </w:tr>
      <w:tr w:rsidR="00B52767" w:rsidRPr="00E65DEE" w:rsidTr="00B52767">
        <w:tc>
          <w:tcPr>
            <w:tcW w:w="483" w:type="dxa"/>
            <w:tcBorders>
              <w:top w:val="nil"/>
              <w:left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10</w:t>
            </w:r>
          </w:p>
        </w:tc>
        <w:tc>
          <w:tcPr>
            <w:tcW w:w="4489" w:type="dxa"/>
            <w:tcBorders>
              <w:top w:val="nil"/>
              <w:left w:val="nil"/>
              <w:righ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Asam Nitrat (HNO3)</w:t>
            </w:r>
          </w:p>
        </w:tc>
        <w:tc>
          <w:tcPr>
            <w:tcW w:w="4242" w:type="dxa"/>
            <w:tcBorders>
              <w:top w:val="nil"/>
              <w:left w:val="nil"/>
            </w:tcBorders>
          </w:tcPr>
          <w:p w:rsidR="00B52767" w:rsidRPr="00E65DEE" w:rsidRDefault="00B52767" w:rsidP="000452AC">
            <w:pPr>
              <w:spacing w:line="240" w:lineRule="auto"/>
              <w:jc w:val="both"/>
              <w:rPr>
                <w:rFonts w:ascii="Arial" w:hAnsi="Arial" w:cs="Arial"/>
                <w:sz w:val="20"/>
                <w:szCs w:val="20"/>
              </w:rPr>
            </w:pPr>
            <w:r w:rsidRPr="00E65DEE">
              <w:rPr>
                <w:rFonts w:ascii="Arial" w:hAnsi="Arial" w:cs="Arial"/>
                <w:sz w:val="20"/>
                <w:szCs w:val="20"/>
              </w:rPr>
              <w:t>Bahan analisa Ca</w:t>
            </w:r>
          </w:p>
        </w:tc>
      </w:tr>
    </w:tbl>
    <w:p w:rsidR="003D03AE" w:rsidRDefault="003D03AE" w:rsidP="00B52767">
      <w:pPr>
        <w:spacing w:line="240" w:lineRule="auto"/>
        <w:jc w:val="both"/>
        <w:rPr>
          <w:rFonts w:asciiTheme="minorBidi" w:hAnsiTheme="minorBidi"/>
          <w:b/>
          <w:sz w:val="20"/>
          <w:szCs w:val="20"/>
        </w:rPr>
        <w:sectPr w:rsidR="003D03AE" w:rsidSect="003D03AE">
          <w:type w:val="continuous"/>
          <w:pgSz w:w="12240" w:h="15840"/>
          <w:pgMar w:top="1440" w:right="1440" w:bottom="1440" w:left="1440" w:header="708" w:footer="708" w:gutter="0"/>
          <w:cols w:space="708"/>
          <w:docGrid w:linePitch="360"/>
        </w:sectPr>
      </w:pPr>
    </w:p>
    <w:p w:rsidR="00B52767" w:rsidRPr="00F75641" w:rsidRDefault="00B52767" w:rsidP="002B3A90">
      <w:pPr>
        <w:spacing w:line="240" w:lineRule="auto"/>
        <w:jc w:val="both"/>
        <w:rPr>
          <w:rFonts w:asciiTheme="minorBidi" w:hAnsiTheme="minorBidi"/>
          <w:b/>
          <w:sz w:val="20"/>
          <w:szCs w:val="20"/>
        </w:rPr>
      </w:pPr>
      <w:r w:rsidRPr="00F75641">
        <w:rPr>
          <w:rFonts w:asciiTheme="minorBidi" w:hAnsiTheme="minorBidi"/>
          <w:b/>
          <w:sz w:val="20"/>
          <w:szCs w:val="20"/>
        </w:rPr>
        <w:t xml:space="preserve">Analisa Kadar </w:t>
      </w:r>
      <w:r w:rsidR="002B3A90">
        <w:rPr>
          <w:rFonts w:asciiTheme="minorBidi" w:hAnsiTheme="minorBidi"/>
          <w:b/>
          <w:sz w:val="20"/>
          <w:szCs w:val="20"/>
        </w:rPr>
        <w:t>Magnesium (Mg)</w:t>
      </w:r>
      <w:r w:rsidRPr="00F75641">
        <w:rPr>
          <w:rFonts w:asciiTheme="minorBidi" w:hAnsiTheme="minorBidi"/>
          <w:b/>
          <w:sz w:val="20"/>
          <w:szCs w:val="20"/>
        </w:rPr>
        <w:t xml:space="preserve"> pada Air</w:t>
      </w:r>
    </w:p>
    <w:p w:rsidR="002B3A90" w:rsidRDefault="002B3A90" w:rsidP="002B3A90">
      <w:pPr>
        <w:spacing w:line="240" w:lineRule="auto"/>
        <w:jc w:val="both"/>
        <w:rPr>
          <w:rFonts w:asciiTheme="minorBidi" w:hAnsiTheme="minorBidi"/>
          <w:sz w:val="20"/>
          <w:szCs w:val="20"/>
        </w:rPr>
      </w:pPr>
      <w:r w:rsidRPr="00F64C48">
        <w:rPr>
          <w:rFonts w:asciiTheme="minorBidi" w:hAnsiTheme="minorBidi"/>
          <w:sz w:val="20"/>
          <w:szCs w:val="20"/>
        </w:rPr>
        <w:t xml:space="preserve">Analisa </w:t>
      </w:r>
      <w:proofErr w:type="gramStart"/>
      <w:r w:rsidRPr="00F64C48">
        <w:rPr>
          <w:rFonts w:asciiTheme="minorBidi" w:hAnsiTheme="minorBidi"/>
          <w:sz w:val="20"/>
          <w:szCs w:val="20"/>
        </w:rPr>
        <w:t>kadar</w:t>
      </w:r>
      <w:proofErr w:type="gramEnd"/>
      <w:r w:rsidRPr="00F64C48">
        <w:rPr>
          <w:rFonts w:asciiTheme="minorBidi" w:hAnsiTheme="minorBidi"/>
          <w:sz w:val="20"/>
          <w:szCs w:val="20"/>
        </w:rPr>
        <w:t xml:space="preserve"> </w:t>
      </w:r>
      <w:r>
        <w:rPr>
          <w:rFonts w:asciiTheme="minorBidi" w:hAnsiTheme="minorBidi"/>
          <w:sz w:val="20"/>
          <w:szCs w:val="20"/>
        </w:rPr>
        <w:t>Magnesium (Mg)</w:t>
      </w:r>
      <w:r w:rsidRPr="00F64C48">
        <w:rPr>
          <w:rFonts w:asciiTheme="minorBidi" w:hAnsiTheme="minorBidi"/>
          <w:sz w:val="20"/>
          <w:szCs w:val="20"/>
        </w:rPr>
        <w:t xml:space="preserve"> pada air menggunakan referensi SNI 06-6989-56- 2005. Menyiapkan larutan baku kalsium  10 µg/mL dengan mengambil 10 mL larutan baku </w:t>
      </w:r>
      <w:r>
        <w:rPr>
          <w:rFonts w:asciiTheme="minorBidi" w:hAnsiTheme="minorBidi"/>
          <w:sz w:val="20"/>
          <w:szCs w:val="20"/>
        </w:rPr>
        <w:t>magnesium</w:t>
      </w:r>
      <w:r w:rsidRPr="00F64C48">
        <w:rPr>
          <w:rFonts w:asciiTheme="minorBidi" w:hAnsiTheme="minorBidi"/>
          <w:sz w:val="20"/>
          <w:szCs w:val="20"/>
        </w:rPr>
        <w:t xml:space="preserve"> 1000 µg/mL dan dimasukkan ke labu ukur 1000 mL, kemudian diencerkan dengan aquades sampai batas tera. Memipet 20 mL larutan sampel yang telah disaring dan ditambahkan 2 mL HCl dan 2 mL larutan lanthanum kemudian mengencerkan ke 100mL labu ukur sampai batas tera. Membuat larutan deret standar 0;2;5;10 dan 20 kemudian ditambahkan 20 mL larutan NaCl, 2 mL HCl dan larutan baku </w:t>
      </w:r>
      <w:r>
        <w:rPr>
          <w:rFonts w:asciiTheme="minorBidi" w:hAnsiTheme="minorBidi"/>
          <w:sz w:val="20"/>
          <w:szCs w:val="20"/>
        </w:rPr>
        <w:t>magnesium</w:t>
      </w:r>
      <w:r w:rsidRPr="00F64C48">
        <w:rPr>
          <w:rFonts w:asciiTheme="minorBidi" w:hAnsiTheme="minorBidi"/>
          <w:sz w:val="20"/>
          <w:szCs w:val="20"/>
        </w:rPr>
        <w:t xml:space="preserve"> ke labu ukur 100mL. Melakukan analisa spektrofotometri dengan panjang gelombang</w:t>
      </w:r>
      <w:r>
        <w:rPr>
          <w:rFonts w:asciiTheme="minorBidi" w:hAnsiTheme="minorBidi"/>
          <w:sz w:val="20"/>
          <w:szCs w:val="20"/>
        </w:rPr>
        <w:t>285</w:t>
      </w:r>
      <w:proofErr w:type="gramStart"/>
      <w:r>
        <w:rPr>
          <w:rFonts w:asciiTheme="minorBidi" w:hAnsiTheme="minorBidi"/>
          <w:sz w:val="20"/>
          <w:szCs w:val="20"/>
        </w:rPr>
        <w:t>,2</w:t>
      </w:r>
      <w:proofErr w:type="gramEnd"/>
      <w:r>
        <w:rPr>
          <w:rFonts w:asciiTheme="minorBidi" w:hAnsiTheme="minorBidi"/>
          <w:sz w:val="20"/>
          <w:szCs w:val="20"/>
        </w:rPr>
        <w:t xml:space="preserve"> nm</w:t>
      </w:r>
      <w:r w:rsidRPr="00F64C48">
        <w:rPr>
          <w:rFonts w:asciiTheme="minorBidi" w:hAnsiTheme="minorBidi"/>
          <w:sz w:val="20"/>
          <w:szCs w:val="20"/>
        </w:rPr>
        <w:t xml:space="preserve"> </w:t>
      </w:r>
    </w:p>
    <w:p w:rsidR="002B3A90" w:rsidRDefault="002B3A90" w:rsidP="002B3A90">
      <w:pPr>
        <w:spacing w:line="240" w:lineRule="auto"/>
        <w:jc w:val="both"/>
        <w:rPr>
          <w:rFonts w:asciiTheme="minorBidi" w:hAnsiTheme="minorBidi"/>
          <w:sz w:val="20"/>
          <w:szCs w:val="20"/>
        </w:rPr>
      </w:pPr>
      <w:r>
        <w:rPr>
          <w:rFonts w:asciiTheme="minorBidi" w:hAnsiTheme="minorBidi"/>
          <w:sz w:val="20"/>
          <w:szCs w:val="20"/>
        </w:rPr>
        <w:t>Kadar magnesium (mg/L) = C x fp</w:t>
      </w:r>
    </w:p>
    <w:p w:rsidR="002B3A90" w:rsidRDefault="002B3A90" w:rsidP="002B3A90">
      <w:pPr>
        <w:spacing w:line="240" w:lineRule="auto"/>
        <w:jc w:val="both"/>
        <w:rPr>
          <w:rFonts w:asciiTheme="minorBidi" w:hAnsiTheme="minorBidi"/>
          <w:sz w:val="20"/>
          <w:szCs w:val="20"/>
        </w:rPr>
      </w:pPr>
      <w:proofErr w:type="gramStart"/>
      <w:r>
        <w:rPr>
          <w:rFonts w:asciiTheme="minorBidi" w:hAnsiTheme="minorBidi"/>
          <w:sz w:val="20"/>
          <w:szCs w:val="20"/>
        </w:rPr>
        <w:t>keterangan</w:t>
      </w:r>
      <w:proofErr w:type="gramEnd"/>
      <w:r>
        <w:rPr>
          <w:rFonts w:asciiTheme="minorBidi" w:hAnsiTheme="minorBidi"/>
          <w:sz w:val="20"/>
          <w:szCs w:val="20"/>
        </w:rPr>
        <w:t>:</w:t>
      </w:r>
    </w:p>
    <w:p w:rsidR="002B3A90" w:rsidRDefault="002B3A90" w:rsidP="002B3A90">
      <w:pPr>
        <w:spacing w:line="240" w:lineRule="auto"/>
        <w:jc w:val="both"/>
        <w:rPr>
          <w:rFonts w:asciiTheme="minorBidi" w:hAnsiTheme="minorBidi"/>
          <w:sz w:val="20"/>
          <w:szCs w:val="20"/>
        </w:rPr>
      </w:pPr>
      <w:r>
        <w:rPr>
          <w:rFonts w:asciiTheme="minorBidi" w:hAnsiTheme="minorBidi"/>
          <w:sz w:val="20"/>
          <w:szCs w:val="20"/>
        </w:rPr>
        <w:t xml:space="preserve">C= </w:t>
      </w:r>
      <w:proofErr w:type="gramStart"/>
      <w:r>
        <w:rPr>
          <w:rFonts w:asciiTheme="minorBidi" w:hAnsiTheme="minorBidi"/>
          <w:sz w:val="20"/>
          <w:szCs w:val="20"/>
        </w:rPr>
        <w:t>kadar</w:t>
      </w:r>
      <w:proofErr w:type="gramEnd"/>
      <w:r>
        <w:rPr>
          <w:rFonts w:asciiTheme="minorBidi" w:hAnsiTheme="minorBidi"/>
          <w:sz w:val="20"/>
          <w:szCs w:val="20"/>
        </w:rPr>
        <w:t xml:space="preserve"> yang didapatkan dari hasil pengukuran (mg/L)</w:t>
      </w:r>
    </w:p>
    <w:p w:rsidR="002B3A90" w:rsidRDefault="002B3A90" w:rsidP="002B3A90">
      <w:pPr>
        <w:spacing w:line="240" w:lineRule="auto"/>
        <w:jc w:val="both"/>
        <w:rPr>
          <w:rFonts w:asciiTheme="minorBidi" w:hAnsiTheme="minorBidi"/>
          <w:sz w:val="20"/>
          <w:szCs w:val="20"/>
        </w:rPr>
      </w:pPr>
      <w:r>
        <w:rPr>
          <w:rFonts w:asciiTheme="minorBidi" w:hAnsiTheme="minorBidi"/>
          <w:sz w:val="20"/>
          <w:szCs w:val="20"/>
        </w:rPr>
        <w:t>Fp= faktor pengenceran</w:t>
      </w:r>
    </w:p>
    <w:p w:rsidR="00624214" w:rsidRDefault="00624214" w:rsidP="002B3A90">
      <w:pPr>
        <w:spacing w:line="240" w:lineRule="auto"/>
        <w:jc w:val="both"/>
        <w:rPr>
          <w:rFonts w:asciiTheme="minorBidi" w:hAnsiTheme="minorBidi"/>
          <w:sz w:val="20"/>
          <w:szCs w:val="20"/>
        </w:rPr>
      </w:pPr>
    </w:p>
    <w:p w:rsidR="00624214" w:rsidRPr="00F64C48" w:rsidRDefault="00624214" w:rsidP="002B3A90">
      <w:pPr>
        <w:spacing w:line="240" w:lineRule="auto"/>
        <w:jc w:val="both"/>
        <w:rPr>
          <w:rFonts w:asciiTheme="minorBidi" w:hAnsiTheme="minorBidi"/>
          <w:sz w:val="20"/>
          <w:szCs w:val="20"/>
        </w:rPr>
      </w:pPr>
    </w:p>
    <w:p w:rsidR="003B324A" w:rsidRPr="00BB49C7" w:rsidRDefault="003B324A" w:rsidP="003B324A">
      <w:pPr>
        <w:spacing w:line="360" w:lineRule="auto"/>
        <w:jc w:val="both"/>
        <w:rPr>
          <w:rFonts w:asciiTheme="minorBidi" w:eastAsiaTheme="minorEastAsia" w:hAnsiTheme="minorBidi"/>
          <w:b/>
          <w:bCs/>
          <w:sz w:val="20"/>
          <w:szCs w:val="20"/>
        </w:rPr>
      </w:pPr>
      <w:r w:rsidRPr="00BB49C7">
        <w:rPr>
          <w:rFonts w:asciiTheme="minorBidi" w:eastAsiaTheme="minorEastAsia" w:hAnsiTheme="minorBidi"/>
          <w:b/>
          <w:bCs/>
          <w:sz w:val="20"/>
          <w:szCs w:val="20"/>
        </w:rPr>
        <w:t>Uji Analisa Data</w:t>
      </w:r>
    </w:p>
    <w:p w:rsidR="003B324A" w:rsidRPr="00BB49C7" w:rsidRDefault="003B324A" w:rsidP="00126F0C">
      <w:pPr>
        <w:spacing w:line="360" w:lineRule="auto"/>
        <w:jc w:val="both"/>
        <w:rPr>
          <w:rFonts w:asciiTheme="minorBidi" w:eastAsiaTheme="minorEastAsia" w:hAnsiTheme="minorBidi"/>
          <w:sz w:val="20"/>
          <w:szCs w:val="20"/>
        </w:rPr>
      </w:pPr>
      <w:r w:rsidRPr="00BB49C7">
        <w:rPr>
          <w:rFonts w:asciiTheme="minorBidi" w:eastAsiaTheme="minorEastAsia" w:hAnsiTheme="minorBidi"/>
          <w:sz w:val="20"/>
          <w:szCs w:val="20"/>
        </w:rPr>
        <w:t xml:space="preserve">Uji analisa data pada </w:t>
      </w:r>
      <w:proofErr w:type="gramStart"/>
      <w:r w:rsidRPr="00BB49C7">
        <w:rPr>
          <w:rFonts w:asciiTheme="minorBidi" w:eastAsiaTheme="minorEastAsia" w:hAnsiTheme="minorBidi"/>
          <w:sz w:val="20"/>
          <w:szCs w:val="20"/>
        </w:rPr>
        <w:t>kadar</w:t>
      </w:r>
      <w:proofErr w:type="gramEnd"/>
      <w:r w:rsidRPr="00BB49C7">
        <w:rPr>
          <w:rFonts w:asciiTheme="minorBidi" w:eastAsiaTheme="minorEastAsia" w:hAnsiTheme="minorBidi"/>
          <w:sz w:val="20"/>
          <w:szCs w:val="20"/>
        </w:rPr>
        <w:t xml:space="preserve"> Magnesium (Mg) menggunakan analisis </w:t>
      </w:r>
      <w:r w:rsidR="00126F0C">
        <w:rPr>
          <w:rFonts w:asciiTheme="minorBidi" w:eastAsiaTheme="minorEastAsia" w:hAnsiTheme="minorBidi"/>
          <w:sz w:val="20"/>
          <w:szCs w:val="20"/>
        </w:rPr>
        <w:t>Uji Anova</w:t>
      </w:r>
      <w:r w:rsidRPr="00BB49C7">
        <w:rPr>
          <w:rFonts w:asciiTheme="minorBidi" w:eastAsiaTheme="minorEastAsia" w:hAnsiTheme="minorBidi"/>
          <w:sz w:val="20"/>
          <w:szCs w:val="20"/>
        </w:rPr>
        <w:t xml:space="preserve">. </w:t>
      </w:r>
      <w:proofErr w:type="gramStart"/>
      <w:r w:rsidRPr="00BB49C7">
        <w:rPr>
          <w:rFonts w:asciiTheme="minorBidi" w:eastAsiaTheme="minorEastAsia" w:hAnsiTheme="minorBidi"/>
          <w:sz w:val="20"/>
          <w:szCs w:val="20"/>
        </w:rPr>
        <w:t xml:space="preserve">Analisa </w:t>
      </w:r>
      <w:r w:rsidR="00126F0C">
        <w:rPr>
          <w:rFonts w:asciiTheme="minorBidi" w:eastAsiaTheme="minorEastAsia" w:hAnsiTheme="minorBidi"/>
          <w:sz w:val="20"/>
          <w:szCs w:val="20"/>
        </w:rPr>
        <w:t xml:space="preserve">Uji Anova </w:t>
      </w:r>
      <w:r w:rsidRPr="00BB49C7">
        <w:rPr>
          <w:rFonts w:asciiTheme="minorBidi" w:eastAsiaTheme="minorEastAsia" w:hAnsiTheme="minorBidi"/>
          <w:sz w:val="20"/>
          <w:szCs w:val="20"/>
        </w:rPr>
        <w:t xml:space="preserve">merupakan uji statistic untuk menguji kebenaran hipotesis yang diajukan oleh peneliti dalam membedakan rata-rata </w:t>
      </w:r>
      <w:r>
        <w:rPr>
          <w:rFonts w:asciiTheme="minorBidi" w:eastAsiaTheme="minorEastAsia" w:hAnsiTheme="minorBidi"/>
          <w:sz w:val="20"/>
          <w:szCs w:val="20"/>
        </w:rPr>
        <w:t>setiap sampel</w:t>
      </w:r>
      <w:r w:rsidRPr="00BB49C7">
        <w:rPr>
          <w:rFonts w:asciiTheme="minorBidi" w:eastAsiaTheme="minorEastAsia" w:hAnsiTheme="minorBidi"/>
          <w:sz w:val="20"/>
          <w:szCs w:val="20"/>
        </w:rPr>
        <w:t>.</w:t>
      </w:r>
      <w:proofErr w:type="gramEnd"/>
      <w:r w:rsidRPr="00BB49C7">
        <w:rPr>
          <w:rFonts w:asciiTheme="minorBidi" w:eastAsiaTheme="minorEastAsia" w:hAnsiTheme="minorBidi"/>
          <w:sz w:val="20"/>
          <w:szCs w:val="20"/>
        </w:rPr>
        <w:t xml:space="preserve"> Analisa data pada pengujian </w:t>
      </w:r>
      <w:r w:rsidR="00126F0C">
        <w:rPr>
          <w:rFonts w:asciiTheme="minorBidi" w:eastAsiaTheme="minorEastAsia" w:hAnsiTheme="minorBidi"/>
          <w:sz w:val="20"/>
          <w:szCs w:val="20"/>
        </w:rPr>
        <w:t>Anova</w:t>
      </w:r>
      <w:r w:rsidRPr="00BB49C7">
        <w:rPr>
          <w:rFonts w:asciiTheme="minorBidi" w:eastAsiaTheme="minorEastAsia" w:hAnsiTheme="minorBidi"/>
          <w:sz w:val="20"/>
          <w:szCs w:val="20"/>
        </w:rPr>
        <w:t xml:space="preserve"> digunakan untuk mengetahui rata-rata kandungan magnesium pada </w:t>
      </w:r>
      <w:r>
        <w:rPr>
          <w:rFonts w:asciiTheme="minorBidi" w:eastAsiaTheme="minorEastAsia" w:hAnsiTheme="minorBidi"/>
          <w:sz w:val="20"/>
          <w:szCs w:val="20"/>
        </w:rPr>
        <w:t xml:space="preserve">air bahan </w:t>
      </w:r>
      <w:proofErr w:type="gramStart"/>
      <w:r>
        <w:rPr>
          <w:rFonts w:asciiTheme="minorBidi" w:eastAsiaTheme="minorEastAsia" w:hAnsiTheme="minorBidi"/>
          <w:sz w:val="20"/>
          <w:szCs w:val="20"/>
        </w:rPr>
        <w:t>baku</w:t>
      </w:r>
      <w:proofErr w:type="gramEnd"/>
      <w:r>
        <w:rPr>
          <w:rFonts w:asciiTheme="minorBidi" w:eastAsiaTheme="minorEastAsia" w:hAnsiTheme="minorBidi"/>
          <w:sz w:val="20"/>
          <w:szCs w:val="20"/>
        </w:rPr>
        <w:t>, bozem, peminihan dan meja kristalisasi Tanah</w:t>
      </w:r>
      <w:r w:rsidRPr="00BB49C7">
        <w:rPr>
          <w:rFonts w:asciiTheme="minorBidi" w:eastAsiaTheme="minorEastAsia" w:hAnsiTheme="minorBidi"/>
          <w:sz w:val="20"/>
          <w:szCs w:val="20"/>
        </w:rPr>
        <w:t xml:space="preserve">. </w:t>
      </w:r>
    </w:p>
    <w:p w:rsidR="003B324A" w:rsidRPr="00BB49C7" w:rsidRDefault="003B324A" w:rsidP="00C80C86">
      <w:pPr>
        <w:spacing w:line="360" w:lineRule="auto"/>
        <w:jc w:val="both"/>
        <w:rPr>
          <w:rFonts w:asciiTheme="minorBidi" w:eastAsiaTheme="minorEastAsia" w:hAnsiTheme="minorBidi"/>
          <w:sz w:val="20"/>
          <w:szCs w:val="20"/>
        </w:rPr>
      </w:pPr>
      <w:r w:rsidRPr="00BB49C7">
        <w:rPr>
          <w:rFonts w:asciiTheme="minorBidi" w:eastAsiaTheme="minorEastAsia" w:hAnsiTheme="minorBidi"/>
          <w:sz w:val="20"/>
          <w:szCs w:val="20"/>
        </w:rPr>
        <w:t xml:space="preserve">H0: </w:t>
      </w:r>
      <w:r w:rsidR="005C44B6">
        <w:rPr>
          <w:rFonts w:asciiTheme="minorBidi" w:eastAsiaTheme="minorEastAsia" w:hAnsiTheme="minorBidi"/>
          <w:sz w:val="20"/>
          <w:szCs w:val="20"/>
        </w:rPr>
        <w:t xml:space="preserve">Tidak </w:t>
      </w:r>
      <w:r w:rsidRPr="00BB49C7">
        <w:rPr>
          <w:rFonts w:asciiTheme="minorBidi" w:eastAsiaTheme="minorEastAsia" w:hAnsiTheme="minorBidi"/>
          <w:sz w:val="20"/>
          <w:szCs w:val="20"/>
        </w:rPr>
        <w:t>ada Perbedaan rata-rata kandungan magnesium pada</w:t>
      </w:r>
      <w:r w:rsidR="00CA6C06">
        <w:rPr>
          <w:rFonts w:asciiTheme="minorBidi" w:eastAsiaTheme="minorEastAsia" w:hAnsiTheme="minorBidi"/>
          <w:sz w:val="20"/>
          <w:szCs w:val="20"/>
        </w:rPr>
        <w:t xml:space="preserve"> </w:t>
      </w:r>
      <w:r>
        <w:rPr>
          <w:rFonts w:asciiTheme="minorBidi" w:eastAsiaTheme="minorEastAsia" w:hAnsiTheme="minorBidi"/>
          <w:sz w:val="20"/>
          <w:szCs w:val="20"/>
        </w:rPr>
        <w:t xml:space="preserve">air bahan </w:t>
      </w:r>
      <w:proofErr w:type="gramStart"/>
      <w:r>
        <w:rPr>
          <w:rFonts w:asciiTheme="minorBidi" w:eastAsiaTheme="minorEastAsia" w:hAnsiTheme="minorBidi"/>
          <w:sz w:val="20"/>
          <w:szCs w:val="20"/>
        </w:rPr>
        <w:t>baku</w:t>
      </w:r>
      <w:proofErr w:type="gramEnd"/>
      <w:r>
        <w:rPr>
          <w:rFonts w:asciiTheme="minorBidi" w:eastAsiaTheme="minorEastAsia" w:hAnsiTheme="minorBidi"/>
          <w:sz w:val="20"/>
          <w:szCs w:val="20"/>
        </w:rPr>
        <w:t>, bozem, peminihan dan meja kristalisasi Tanah.</w:t>
      </w:r>
    </w:p>
    <w:p w:rsidR="003B324A" w:rsidRPr="00BB49C7" w:rsidRDefault="003B324A" w:rsidP="00C80C86">
      <w:pPr>
        <w:spacing w:line="360" w:lineRule="auto"/>
        <w:jc w:val="both"/>
        <w:rPr>
          <w:rFonts w:asciiTheme="minorBidi" w:eastAsiaTheme="minorEastAsia" w:hAnsiTheme="minorBidi"/>
          <w:sz w:val="20"/>
          <w:szCs w:val="20"/>
        </w:rPr>
      </w:pPr>
      <w:r w:rsidRPr="00BB49C7">
        <w:rPr>
          <w:rFonts w:asciiTheme="minorBidi" w:eastAsiaTheme="minorEastAsia" w:hAnsiTheme="minorBidi"/>
          <w:sz w:val="20"/>
          <w:szCs w:val="20"/>
        </w:rPr>
        <w:t xml:space="preserve">H1: </w:t>
      </w:r>
      <w:r w:rsidR="002C5F76">
        <w:rPr>
          <w:rFonts w:asciiTheme="minorBidi" w:eastAsiaTheme="minorEastAsia" w:hAnsiTheme="minorBidi"/>
          <w:sz w:val="20"/>
          <w:szCs w:val="20"/>
        </w:rPr>
        <w:t xml:space="preserve"> </w:t>
      </w:r>
      <w:r w:rsidRPr="00BB49C7">
        <w:rPr>
          <w:rFonts w:asciiTheme="minorBidi" w:eastAsiaTheme="minorEastAsia" w:hAnsiTheme="minorBidi"/>
          <w:sz w:val="20"/>
          <w:szCs w:val="20"/>
        </w:rPr>
        <w:t xml:space="preserve">Ada perbedaan rata-rata kandungan magnesium pada </w:t>
      </w:r>
      <w:r>
        <w:rPr>
          <w:rFonts w:asciiTheme="minorBidi" w:eastAsiaTheme="minorEastAsia" w:hAnsiTheme="minorBidi"/>
          <w:sz w:val="20"/>
          <w:szCs w:val="20"/>
        </w:rPr>
        <w:t xml:space="preserve">air bahan </w:t>
      </w:r>
      <w:proofErr w:type="gramStart"/>
      <w:r>
        <w:rPr>
          <w:rFonts w:asciiTheme="minorBidi" w:eastAsiaTheme="minorEastAsia" w:hAnsiTheme="minorBidi"/>
          <w:sz w:val="20"/>
          <w:szCs w:val="20"/>
        </w:rPr>
        <w:t>baku</w:t>
      </w:r>
      <w:proofErr w:type="gramEnd"/>
      <w:r>
        <w:rPr>
          <w:rFonts w:asciiTheme="minorBidi" w:eastAsiaTheme="minorEastAsia" w:hAnsiTheme="minorBidi"/>
          <w:sz w:val="20"/>
          <w:szCs w:val="20"/>
        </w:rPr>
        <w:t>, bozem, peminihan dan meja kristalisasi Tanah.</w:t>
      </w:r>
    </w:p>
    <w:p w:rsidR="003B324A" w:rsidRDefault="003B324A" w:rsidP="00CA6C06">
      <w:pPr>
        <w:spacing w:line="360" w:lineRule="auto"/>
        <w:jc w:val="both"/>
        <w:rPr>
          <w:rFonts w:asciiTheme="minorBidi" w:eastAsiaTheme="minorEastAsia" w:hAnsiTheme="minorBidi"/>
          <w:sz w:val="20"/>
          <w:szCs w:val="20"/>
        </w:rPr>
      </w:pPr>
      <w:r w:rsidRPr="00BB49C7">
        <w:rPr>
          <w:rFonts w:asciiTheme="minorBidi" w:eastAsiaTheme="minorEastAsia" w:hAnsiTheme="minorBidi"/>
          <w:sz w:val="20"/>
          <w:szCs w:val="20"/>
        </w:rPr>
        <w:t xml:space="preserve">Pengambilan keputusan dalam penelitian ini dimana jika nilai </w:t>
      </w:r>
      <w:r w:rsidR="00CA6C06">
        <w:rPr>
          <w:rFonts w:asciiTheme="minorBidi" w:eastAsiaTheme="minorEastAsia" w:hAnsiTheme="minorBidi"/>
          <w:sz w:val="20"/>
          <w:szCs w:val="20"/>
        </w:rPr>
        <w:t>p Value</w:t>
      </w:r>
      <w:r w:rsidRPr="00BB49C7">
        <w:rPr>
          <w:rFonts w:asciiTheme="minorBidi" w:eastAsiaTheme="minorEastAsia" w:hAnsiTheme="minorBidi"/>
          <w:sz w:val="20"/>
          <w:szCs w:val="20"/>
        </w:rPr>
        <w:t xml:space="preserve"> &gt;0</w:t>
      </w:r>
      <w:proofErr w:type="gramStart"/>
      <w:r w:rsidRPr="00BB49C7">
        <w:rPr>
          <w:rFonts w:asciiTheme="minorBidi" w:eastAsiaTheme="minorEastAsia" w:hAnsiTheme="minorBidi"/>
          <w:sz w:val="20"/>
          <w:szCs w:val="20"/>
        </w:rPr>
        <w:t>,05</w:t>
      </w:r>
      <w:proofErr w:type="gramEnd"/>
      <w:r w:rsidRPr="00BB49C7">
        <w:rPr>
          <w:rFonts w:asciiTheme="minorBidi" w:eastAsiaTheme="minorEastAsia" w:hAnsiTheme="minorBidi"/>
          <w:sz w:val="20"/>
          <w:szCs w:val="20"/>
        </w:rPr>
        <w:t xml:space="preserve"> maka H0 di</w:t>
      </w:r>
      <w:r w:rsidR="00CA6C06">
        <w:rPr>
          <w:rFonts w:asciiTheme="minorBidi" w:eastAsiaTheme="minorEastAsia" w:hAnsiTheme="minorBidi"/>
          <w:sz w:val="20"/>
          <w:szCs w:val="20"/>
        </w:rPr>
        <w:t>terima</w:t>
      </w:r>
      <w:r>
        <w:rPr>
          <w:rFonts w:asciiTheme="minorBidi" w:eastAsiaTheme="minorEastAsia" w:hAnsiTheme="minorBidi"/>
          <w:sz w:val="20"/>
          <w:szCs w:val="20"/>
        </w:rPr>
        <w:t xml:space="preserve"> dan H1 </w:t>
      </w:r>
      <w:r w:rsidR="00CA6C06">
        <w:rPr>
          <w:rFonts w:asciiTheme="minorBidi" w:eastAsiaTheme="minorEastAsia" w:hAnsiTheme="minorBidi"/>
          <w:sz w:val="20"/>
          <w:szCs w:val="20"/>
        </w:rPr>
        <w:t>ditolak.</w:t>
      </w:r>
    </w:p>
    <w:p w:rsidR="003B324A" w:rsidRPr="00BB49C7" w:rsidRDefault="003B324A" w:rsidP="003B324A">
      <w:pPr>
        <w:spacing w:line="360" w:lineRule="auto"/>
        <w:jc w:val="center"/>
        <w:rPr>
          <w:rFonts w:asciiTheme="minorBidi" w:hAnsiTheme="minorBidi"/>
          <w:b/>
          <w:bCs/>
          <w:sz w:val="20"/>
          <w:szCs w:val="20"/>
        </w:rPr>
      </w:pPr>
      <w:r w:rsidRPr="00BB49C7">
        <w:rPr>
          <w:rFonts w:asciiTheme="minorBidi" w:hAnsiTheme="minorBidi"/>
          <w:b/>
          <w:bCs/>
          <w:sz w:val="20"/>
          <w:szCs w:val="20"/>
        </w:rPr>
        <w:t>HASIL DAN PEMBAHASAN</w:t>
      </w:r>
    </w:p>
    <w:p w:rsidR="003B324A" w:rsidRDefault="003B324A" w:rsidP="00F64C48">
      <w:pPr>
        <w:widowControl w:val="0"/>
        <w:autoSpaceDE w:val="0"/>
        <w:autoSpaceDN w:val="0"/>
        <w:adjustRightInd w:val="0"/>
        <w:spacing w:line="360" w:lineRule="auto"/>
        <w:jc w:val="both"/>
        <w:rPr>
          <w:rFonts w:asciiTheme="minorBidi" w:hAnsiTheme="minorBidi"/>
          <w:b/>
          <w:bCs/>
          <w:sz w:val="20"/>
          <w:szCs w:val="20"/>
        </w:rPr>
      </w:pPr>
      <w:r w:rsidRPr="00BB49C7">
        <w:rPr>
          <w:rFonts w:asciiTheme="minorBidi" w:hAnsiTheme="minorBidi"/>
          <w:sz w:val="20"/>
          <w:szCs w:val="20"/>
        </w:rPr>
        <w:t xml:space="preserve">Kabupaten Pamekasan merupakan kabupaten yang terdiri dari 5 kecamatan yang terdiri dari Kecamatan Batumarmar, Galis, </w:t>
      </w:r>
      <w:proofErr w:type="gramStart"/>
      <w:r w:rsidRPr="00BB49C7">
        <w:rPr>
          <w:rFonts w:asciiTheme="minorBidi" w:hAnsiTheme="minorBidi"/>
          <w:sz w:val="20"/>
          <w:szCs w:val="20"/>
        </w:rPr>
        <w:t>Pademawu ,</w:t>
      </w:r>
      <w:proofErr w:type="gramEnd"/>
      <w:r w:rsidRPr="00BB49C7">
        <w:rPr>
          <w:rFonts w:asciiTheme="minorBidi" w:hAnsiTheme="minorBidi"/>
          <w:sz w:val="20"/>
          <w:szCs w:val="20"/>
        </w:rPr>
        <w:t xml:space="preserve"> Pasean dan Tlanakan. Wilayah kabupaten Pamekasan yang paling banyak memproduksi garam yaitu di pesisir utara dikarenakan dalam memperoleh air laut bahan </w:t>
      </w:r>
      <w:proofErr w:type="gramStart"/>
      <w:r w:rsidRPr="00BB49C7">
        <w:rPr>
          <w:rFonts w:asciiTheme="minorBidi" w:hAnsiTheme="minorBidi"/>
          <w:sz w:val="20"/>
          <w:szCs w:val="20"/>
        </w:rPr>
        <w:t>baku</w:t>
      </w:r>
      <w:proofErr w:type="gramEnd"/>
      <w:r w:rsidRPr="00BB49C7">
        <w:rPr>
          <w:rFonts w:asciiTheme="minorBidi" w:hAnsiTheme="minorBidi"/>
          <w:sz w:val="20"/>
          <w:szCs w:val="20"/>
        </w:rPr>
        <w:t xml:space="preserve"> dari selat madura. </w:t>
      </w:r>
      <w:proofErr w:type="gramStart"/>
      <w:r w:rsidRPr="00BB49C7">
        <w:rPr>
          <w:rFonts w:asciiTheme="minorBidi" w:hAnsiTheme="minorBidi"/>
          <w:sz w:val="20"/>
          <w:szCs w:val="20"/>
        </w:rPr>
        <w:t>Luas tanah yang digunakan untuk tambak garam yaitu sekitar 1.898,8 Ha sebagian besar di pesisir selatan.</w:t>
      </w:r>
      <w:proofErr w:type="gramEnd"/>
      <w:r w:rsidRPr="00BB49C7">
        <w:rPr>
          <w:rFonts w:asciiTheme="minorBidi" w:hAnsiTheme="minorBidi"/>
          <w:sz w:val="20"/>
          <w:szCs w:val="20"/>
        </w:rPr>
        <w:t xml:space="preserve"> </w:t>
      </w:r>
      <w:proofErr w:type="gramStart"/>
      <w:r w:rsidRPr="00BB49C7">
        <w:rPr>
          <w:rFonts w:asciiTheme="minorBidi" w:hAnsiTheme="minorBidi"/>
          <w:sz w:val="20"/>
          <w:szCs w:val="20"/>
        </w:rPr>
        <w:t>Luas tambak garam yang paling besar yaitu di kecamatan galis sebesar 1.108,41 Ha.</w:t>
      </w:r>
      <w:proofErr w:type="gramEnd"/>
      <w:r w:rsidRPr="00BB49C7">
        <w:rPr>
          <w:rFonts w:asciiTheme="minorBidi" w:hAnsiTheme="minorBidi"/>
          <w:sz w:val="20"/>
          <w:szCs w:val="20"/>
        </w:rPr>
        <w:t xml:space="preserve"> Luas lahan tambak garam yang berada kecamatan pademawu yaitu 740</w:t>
      </w:r>
      <w:proofErr w:type="gramStart"/>
      <w:r w:rsidRPr="00BB49C7">
        <w:rPr>
          <w:rFonts w:asciiTheme="minorBidi" w:hAnsiTheme="minorBidi"/>
          <w:sz w:val="20"/>
          <w:szCs w:val="20"/>
        </w:rPr>
        <w:t>,96</w:t>
      </w:r>
      <w:proofErr w:type="gramEnd"/>
      <w:r w:rsidRPr="00BB49C7">
        <w:rPr>
          <w:rFonts w:asciiTheme="minorBidi" w:hAnsiTheme="minorBidi"/>
          <w:sz w:val="20"/>
          <w:szCs w:val="20"/>
        </w:rPr>
        <w:t xml:space="preserve"> Ha. </w:t>
      </w:r>
      <w:proofErr w:type="gramStart"/>
      <w:r w:rsidRPr="00BB49C7">
        <w:rPr>
          <w:rFonts w:asciiTheme="minorBidi" w:hAnsiTheme="minorBidi"/>
          <w:sz w:val="20"/>
          <w:szCs w:val="20"/>
        </w:rPr>
        <w:t>Penelitian ini dilakukan ditambak PT.Garam Persero yang berlokasi di Desa Capak, Kecamatan Galis.</w:t>
      </w:r>
      <w:proofErr w:type="gramEnd"/>
      <w:r w:rsidRPr="00BB49C7">
        <w:rPr>
          <w:rFonts w:asciiTheme="minorBidi" w:hAnsiTheme="minorBidi"/>
          <w:sz w:val="20"/>
          <w:szCs w:val="20"/>
        </w:rPr>
        <w:t xml:space="preserve"> </w:t>
      </w:r>
      <w:r>
        <w:rPr>
          <w:rFonts w:asciiTheme="minorBidi" w:hAnsiTheme="minorBidi"/>
          <w:sz w:val="20"/>
          <w:szCs w:val="20"/>
        </w:rPr>
        <w:t>Pengambilan sampel air dilakukan pada beberapa titik yaitu pada air bahan baku, Bozem Peminihan dan Meja kristalisasi tanah, Lokasi pengambilan sampel</w:t>
      </w:r>
      <w:r w:rsidRPr="00BB49C7">
        <w:rPr>
          <w:rFonts w:asciiTheme="minorBidi" w:hAnsiTheme="minorBidi"/>
          <w:sz w:val="20"/>
          <w:szCs w:val="20"/>
        </w:rPr>
        <w:t xml:space="preserve"> berdekatan dengan pembuangan limbah rumah tangga </w:t>
      </w:r>
      <w:proofErr w:type="gramStart"/>
      <w:r w:rsidRPr="00BB49C7">
        <w:rPr>
          <w:rFonts w:asciiTheme="minorBidi" w:hAnsiTheme="minorBidi"/>
          <w:sz w:val="20"/>
          <w:szCs w:val="20"/>
        </w:rPr>
        <w:t>dan  jalur</w:t>
      </w:r>
      <w:proofErr w:type="gramEnd"/>
      <w:r w:rsidRPr="00BB49C7">
        <w:rPr>
          <w:rFonts w:asciiTheme="minorBidi" w:hAnsiTheme="minorBidi"/>
          <w:sz w:val="20"/>
          <w:szCs w:val="20"/>
        </w:rPr>
        <w:t xml:space="preserve"> perahu dalam membongkar muatan berjarak sekitar 10 meter dari tempat pembuangan limbah rumah tangga dan jalur perahu ke tempat penampungan air laut.</w:t>
      </w:r>
      <w:r>
        <w:rPr>
          <w:rFonts w:asciiTheme="minorBidi" w:hAnsiTheme="minorBidi"/>
          <w:sz w:val="20"/>
          <w:szCs w:val="20"/>
        </w:rPr>
        <w:t xml:space="preserve"> Hasil dari analisa Magnesium (Mg) </w:t>
      </w:r>
      <w:proofErr w:type="gramStart"/>
      <w:r>
        <w:rPr>
          <w:rFonts w:asciiTheme="minorBidi" w:hAnsiTheme="minorBidi"/>
          <w:sz w:val="20"/>
          <w:szCs w:val="20"/>
        </w:rPr>
        <w:t>pada  air</w:t>
      </w:r>
      <w:proofErr w:type="gramEnd"/>
      <w:r>
        <w:rPr>
          <w:rFonts w:asciiTheme="minorBidi" w:hAnsiTheme="minorBidi"/>
          <w:sz w:val="20"/>
          <w:szCs w:val="20"/>
        </w:rPr>
        <w:t xml:space="preserve"> bahan baku, Bozem, peminihan dan meja kristalisasi disajikan pada </w:t>
      </w:r>
      <w:r w:rsidRPr="0035200D">
        <w:rPr>
          <w:rFonts w:asciiTheme="minorBidi" w:hAnsiTheme="minorBidi"/>
          <w:b/>
          <w:bCs/>
          <w:sz w:val="20"/>
          <w:szCs w:val="20"/>
        </w:rPr>
        <w:t>Tabel 3</w:t>
      </w:r>
    </w:p>
    <w:p w:rsidR="003D03AE" w:rsidRDefault="003D03AE" w:rsidP="003B324A">
      <w:pPr>
        <w:widowControl w:val="0"/>
        <w:autoSpaceDE w:val="0"/>
        <w:autoSpaceDN w:val="0"/>
        <w:adjustRightInd w:val="0"/>
        <w:spacing w:line="360" w:lineRule="auto"/>
        <w:jc w:val="both"/>
        <w:rPr>
          <w:rFonts w:asciiTheme="minorBidi" w:hAnsiTheme="minorBidi"/>
          <w:b/>
          <w:bCs/>
          <w:sz w:val="20"/>
          <w:szCs w:val="20"/>
        </w:rPr>
        <w:sectPr w:rsidR="003D03AE" w:rsidSect="003D03AE">
          <w:type w:val="continuous"/>
          <w:pgSz w:w="12240" w:h="15840"/>
          <w:pgMar w:top="1440" w:right="1440" w:bottom="1440" w:left="1440" w:header="708" w:footer="708" w:gutter="0"/>
          <w:cols w:num="2" w:space="708"/>
          <w:docGrid w:linePitch="360"/>
        </w:sectPr>
      </w:pPr>
    </w:p>
    <w:p w:rsidR="003B324A" w:rsidRDefault="003B324A" w:rsidP="00BF20B3">
      <w:pPr>
        <w:widowControl w:val="0"/>
        <w:autoSpaceDE w:val="0"/>
        <w:autoSpaceDN w:val="0"/>
        <w:adjustRightInd w:val="0"/>
        <w:spacing w:after="0" w:line="360" w:lineRule="auto"/>
        <w:jc w:val="both"/>
        <w:rPr>
          <w:rFonts w:asciiTheme="minorBidi" w:hAnsiTheme="minorBidi"/>
          <w:b/>
          <w:bCs/>
          <w:sz w:val="20"/>
          <w:szCs w:val="20"/>
        </w:rPr>
      </w:pPr>
      <w:proofErr w:type="gramStart"/>
      <w:r>
        <w:rPr>
          <w:rFonts w:asciiTheme="minorBidi" w:hAnsiTheme="minorBidi"/>
          <w:b/>
          <w:bCs/>
          <w:sz w:val="20"/>
          <w:szCs w:val="20"/>
        </w:rPr>
        <w:t>Tabel 3.</w:t>
      </w:r>
      <w:proofErr w:type="gramEnd"/>
      <w:r>
        <w:rPr>
          <w:rFonts w:asciiTheme="minorBidi" w:hAnsiTheme="minorBidi"/>
          <w:b/>
          <w:bCs/>
          <w:sz w:val="20"/>
          <w:szCs w:val="20"/>
        </w:rPr>
        <w:t xml:space="preserve"> Hasil Pengujian Magnesium (Mg)</w:t>
      </w:r>
    </w:p>
    <w:tbl>
      <w:tblPr>
        <w:tblStyle w:val="TableGrid"/>
        <w:tblW w:w="0" w:type="auto"/>
        <w:tblInd w:w="250" w:type="dxa"/>
        <w:tblLook w:val="04A0" w:firstRow="1" w:lastRow="0" w:firstColumn="1" w:lastColumn="0" w:noHBand="0" w:noVBand="1"/>
      </w:tblPr>
      <w:tblGrid>
        <w:gridCol w:w="567"/>
        <w:gridCol w:w="2977"/>
        <w:gridCol w:w="1221"/>
        <w:gridCol w:w="1189"/>
        <w:gridCol w:w="1134"/>
        <w:gridCol w:w="2126"/>
      </w:tblGrid>
      <w:tr w:rsidR="00711C78" w:rsidTr="00711C78">
        <w:tc>
          <w:tcPr>
            <w:tcW w:w="567" w:type="dxa"/>
            <w:vMerge w:val="restart"/>
            <w:tcBorders>
              <w:left w:val="nil"/>
            </w:tcBorders>
          </w:tcPr>
          <w:p w:rsidR="00711C78" w:rsidRPr="003B324A" w:rsidRDefault="00711C78" w:rsidP="00176873">
            <w:pPr>
              <w:widowControl w:val="0"/>
              <w:autoSpaceDE w:val="0"/>
              <w:autoSpaceDN w:val="0"/>
              <w:adjustRightInd w:val="0"/>
              <w:spacing w:line="360" w:lineRule="auto"/>
              <w:jc w:val="center"/>
              <w:rPr>
                <w:rFonts w:asciiTheme="minorBidi" w:hAnsiTheme="minorBidi"/>
                <w:b/>
                <w:bCs/>
                <w:sz w:val="20"/>
                <w:szCs w:val="20"/>
              </w:rPr>
            </w:pPr>
            <w:r>
              <w:rPr>
                <w:rFonts w:asciiTheme="minorBidi" w:hAnsiTheme="minorBidi"/>
                <w:b/>
                <w:bCs/>
                <w:sz w:val="20"/>
                <w:szCs w:val="20"/>
              </w:rPr>
              <w:t>No</w:t>
            </w:r>
          </w:p>
        </w:tc>
        <w:tc>
          <w:tcPr>
            <w:tcW w:w="2977" w:type="dxa"/>
            <w:vMerge w:val="restart"/>
          </w:tcPr>
          <w:p w:rsidR="00711C78" w:rsidRDefault="00711C78" w:rsidP="00176873">
            <w:pPr>
              <w:widowControl w:val="0"/>
              <w:autoSpaceDE w:val="0"/>
              <w:autoSpaceDN w:val="0"/>
              <w:adjustRightInd w:val="0"/>
              <w:spacing w:line="360" w:lineRule="auto"/>
              <w:jc w:val="center"/>
              <w:rPr>
                <w:rFonts w:asciiTheme="minorBidi" w:hAnsiTheme="minorBidi"/>
                <w:b/>
                <w:bCs/>
                <w:sz w:val="20"/>
                <w:szCs w:val="20"/>
              </w:rPr>
            </w:pPr>
            <w:r>
              <w:rPr>
                <w:rFonts w:asciiTheme="minorBidi" w:hAnsiTheme="minorBidi"/>
                <w:b/>
                <w:bCs/>
                <w:sz w:val="20"/>
                <w:szCs w:val="20"/>
              </w:rPr>
              <w:t>Sampel</w:t>
            </w:r>
          </w:p>
        </w:tc>
        <w:tc>
          <w:tcPr>
            <w:tcW w:w="1221" w:type="dxa"/>
            <w:vMerge w:val="restart"/>
          </w:tcPr>
          <w:p w:rsidR="00711C78" w:rsidRDefault="00711C78" w:rsidP="00176873">
            <w:pPr>
              <w:widowControl w:val="0"/>
              <w:autoSpaceDE w:val="0"/>
              <w:autoSpaceDN w:val="0"/>
              <w:adjustRightInd w:val="0"/>
              <w:spacing w:line="360" w:lineRule="auto"/>
              <w:jc w:val="center"/>
              <w:rPr>
                <w:rFonts w:asciiTheme="minorBidi" w:hAnsiTheme="minorBidi"/>
                <w:b/>
                <w:bCs/>
                <w:sz w:val="20"/>
                <w:szCs w:val="20"/>
              </w:rPr>
            </w:pPr>
            <w:r>
              <w:rPr>
                <w:rFonts w:asciiTheme="minorBidi" w:hAnsiTheme="minorBidi"/>
                <w:b/>
                <w:bCs/>
                <w:sz w:val="20"/>
                <w:szCs w:val="20"/>
              </w:rPr>
              <w:t>Satuan</w:t>
            </w:r>
          </w:p>
        </w:tc>
        <w:tc>
          <w:tcPr>
            <w:tcW w:w="2323" w:type="dxa"/>
            <w:gridSpan w:val="2"/>
          </w:tcPr>
          <w:p w:rsidR="00711C78" w:rsidRDefault="00711C78" w:rsidP="00176873">
            <w:pPr>
              <w:widowControl w:val="0"/>
              <w:autoSpaceDE w:val="0"/>
              <w:autoSpaceDN w:val="0"/>
              <w:adjustRightInd w:val="0"/>
              <w:spacing w:line="360" w:lineRule="auto"/>
              <w:jc w:val="center"/>
              <w:rPr>
                <w:rFonts w:asciiTheme="minorBidi" w:hAnsiTheme="minorBidi"/>
                <w:b/>
                <w:bCs/>
                <w:sz w:val="20"/>
                <w:szCs w:val="20"/>
              </w:rPr>
            </w:pPr>
            <w:r>
              <w:rPr>
                <w:rFonts w:asciiTheme="minorBidi" w:hAnsiTheme="minorBidi"/>
                <w:b/>
                <w:bCs/>
                <w:sz w:val="20"/>
                <w:szCs w:val="20"/>
              </w:rPr>
              <w:t>Pengulangan</w:t>
            </w:r>
          </w:p>
        </w:tc>
        <w:tc>
          <w:tcPr>
            <w:tcW w:w="2126" w:type="dxa"/>
            <w:vMerge w:val="restart"/>
          </w:tcPr>
          <w:p w:rsidR="00711C78" w:rsidRDefault="00711C78" w:rsidP="00176873">
            <w:pPr>
              <w:widowControl w:val="0"/>
              <w:autoSpaceDE w:val="0"/>
              <w:autoSpaceDN w:val="0"/>
              <w:adjustRightInd w:val="0"/>
              <w:spacing w:line="360" w:lineRule="auto"/>
              <w:jc w:val="center"/>
              <w:rPr>
                <w:rFonts w:asciiTheme="minorBidi" w:hAnsiTheme="minorBidi"/>
                <w:b/>
                <w:bCs/>
                <w:sz w:val="20"/>
                <w:szCs w:val="20"/>
              </w:rPr>
            </w:pPr>
            <w:r>
              <w:rPr>
                <w:rFonts w:asciiTheme="minorBidi" w:hAnsiTheme="minorBidi"/>
                <w:b/>
                <w:bCs/>
                <w:sz w:val="20"/>
                <w:szCs w:val="20"/>
              </w:rPr>
              <w:t>Rata-rata</w:t>
            </w:r>
          </w:p>
        </w:tc>
      </w:tr>
      <w:tr w:rsidR="00711C78" w:rsidTr="00711C78">
        <w:tc>
          <w:tcPr>
            <w:tcW w:w="567" w:type="dxa"/>
            <w:vMerge/>
            <w:tcBorders>
              <w:left w:val="nil"/>
              <w:bottom w:val="single" w:sz="4" w:space="0" w:color="auto"/>
            </w:tcBorders>
          </w:tcPr>
          <w:p w:rsidR="00711C78" w:rsidRDefault="00711C78" w:rsidP="003B324A">
            <w:pPr>
              <w:widowControl w:val="0"/>
              <w:autoSpaceDE w:val="0"/>
              <w:autoSpaceDN w:val="0"/>
              <w:adjustRightInd w:val="0"/>
              <w:spacing w:line="360" w:lineRule="auto"/>
              <w:jc w:val="both"/>
              <w:rPr>
                <w:rFonts w:asciiTheme="minorBidi" w:hAnsiTheme="minorBidi"/>
                <w:b/>
                <w:bCs/>
                <w:sz w:val="20"/>
                <w:szCs w:val="20"/>
              </w:rPr>
            </w:pPr>
          </w:p>
        </w:tc>
        <w:tc>
          <w:tcPr>
            <w:tcW w:w="2977" w:type="dxa"/>
            <w:vMerge/>
            <w:tcBorders>
              <w:bottom w:val="single" w:sz="4" w:space="0" w:color="auto"/>
            </w:tcBorders>
          </w:tcPr>
          <w:p w:rsidR="00711C78" w:rsidRDefault="00711C78" w:rsidP="003B324A">
            <w:pPr>
              <w:widowControl w:val="0"/>
              <w:autoSpaceDE w:val="0"/>
              <w:autoSpaceDN w:val="0"/>
              <w:adjustRightInd w:val="0"/>
              <w:spacing w:line="360" w:lineRule="auto"/>
              <w:jc w:val="both"/>
              <w:rPr>
                <w:rFonts w:asciiTheme="minorBidi" w:hAnsiTheme="minorBidi"/>
                <w:b/>
                <w:bCs/>
                <w:sz w:val="20"/>
                <w:szCs w:val="20"/>
              </w:rPr>
            </w:pPr>
          </w:p>
        </w:tc>
        <w:tc>
          <w:tcPr>
            <w:tcW w:w="1221" w:type="dxa"/>
            <w:vMerge/>
            <w:tcBorders>
              <w:bottom w:val="single" w:sz="4" w:space="0" w:color="auto"/>
            </w:tcBorders>
          </w:tcPr>
          <w:p w:rsidR="00711C78" w:rsidRDefault="00711C78" w:rsidP="003B324A">
            <w:pPr>
              <w:widowControl w:val="0"/>
              <w:autoSpaceDE w:val="0"/>
              <w:autoSpaceDN w:val="0"/>
              <w:adjustRightInd w:val="0"/>
              <w:spacing w:line="360" w:lineRule="auto"/>
              <w:jc w:val="both"/>
              <w:rPr>
                <w:rFonts w:asciiTheme="minorBidi" w:hAnsiTheme="minorBidi"/>
                <w:b/>
                <w:bCs/>
                <w:sz w:val="20"/>
                <w:szCs w:val="20"/>
              </w:rPr>
            </w:pPr>
          </w:p>
        </w:tc>
        <w:tc>
          <w:tcPr>
            <w:tcW w:w="1189" w:type="dxa"/>
            <w:tcBorders>
              <w:bottom w:val="single" w:sz="4" w:space="0" w:color="auto"/>
            </w:tcBorders>
          </w:tcPr>
          <w:p w:rsidR="00711C78" w:rsidRDefault="00711C78" w:rsidP="003B324A">
            <w:pPr>
              <w:widowControl w:val="0"/>
              <w:autoSpaceDE w:val="0"/>
              <w:autoSpaceDN w:val="0"/>
              <w:adjustRightInd w:val="0"/>
              <w:spacing w:line="360" w:lineRule="auto"/>
              <w:jc w:val="both"/>
              <w:rPr>
                <w:rFonts w:asciiTheme="minorBidi" w:hAnsiTheme="minorBidi"/>
                <w:b/>
                <w:bCs/>
                <w:sz w:val="20"/>
                <w:szCs w:val="20"/>
              </w:rPr>
            </w:pPr>
            <w:r>
              <w:rPr>
                <w:rFonts w:asciiTheme="minorBidi" w:hAnsiTheme="minorBidi"/>
                <w:b/>
                <w:bCs/>
                <w:sz w:val="20"/>
                <w:szCs w:val="20"/>
              </w:rPr>
              <w:t>1</w:t>
            </w:r>
          </w:p>
        </w:tc>
        <w:tc>
          <w:tcPr>
            <w:tcW w:w="1134" w:type="dxa"/>
            <w:tcBorders>
              <w:bottom w:val="single" w:sz="4" w:space="0" w:color="auto"/>
            </w:tcBorders>
          </w:tcPr>
          <w:p w:rsidR="00711C78" w:rsidRDefault="00711C78" w:rsidP="003B324A">
            <w:pPr>
              <w:widowControl w:val="0"/>
              <w:autoSpaceDE w:val="0"/>
              <w:autoSpaceDN w:val="0"/>
              <w:adjustRightInd w:val="0"/>
              <w:spacing w:line="360" w:lineRule="auto"/>
              <w:jc w:val="both"/>
              <w:rPr>
                <w:rFonts w:asciiTheme="minorBidi" w:hAnsiTheme="minorBidi"/>
                <w:b/>
                <w:bCs/>
                <w:sz w:val="20"/>
                <w:szCs w:val="20"/>
              </w:rPr>
            </w:pPr>
            <w:r>
              <w:rPr>
                <w:rFonts w:asciiTheme="minorBidi" w:hAnsiTheme="minorBidi"/>
                <w:b/>
                <w:bCs/>
                <w:sz w:val="20"/>
                <w:szCs w:val="20"/>
              </w:rPr>
              <w:t>2</w:t>
            </w:r>
          </w:p>
        </w:tc>
        <w:tc>
          <w:tcPr>
            <w:tcW w:w="2126" w:type="dxa"/>
            <w:vMerge/>
            <w:tcBorders>
              <w:bottom w:val="single" w:sz="4" w:space="0" w:color="auto"/>
            </w:tcBorders>
          </w:tcPr>
          <w:p w:rsidR="00711C78" w:rsidRDefault="00711C78" w:rsidP="003B324A">
            <w:pPr>
              <w:widowControl w:val="0"/>
              <w:autoSpaceDE w:val="0"/>
              <w:autoSpaceDN w:val="0"/>
              <w:adjustRightInd w:val="0"/>
              <w:spacing w:line="360" w:lineRule="auto"/>
              <w:jc w:val="both"/>
              <w:rPr>
                <w:rFonts w:asciiTheme="minorBidi" w:hAnsiTheme="minorBidi"/>
                <w:b/>
                <w:bCs/>
                <w:sz w:val="20"/>
                <w:szCs w:val="20"/>
              </w:rPr>
            </w:pPr>
          </w:p>
        </w:tc>
      </w:tr>
      <w:tr w:rsidR="003B324A" w:rsidTr="00711C78">
        <w:tc>
          <w:tcPr>
            <w:tcW w:w="567" w:type="dxa"/>
            <w:tcBorders>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1</w:t>
            </w:r>
          </w:p>
        </w:tc>
        <w:tc>
          <w:tcPr>
            <w:tcW w:w="2977" w:type="dxa"/>
            <w:tcBorders>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Pr>
                <w:rFonts w:asciiTheme="minorBidi" w:hAnsiTheme="minorBidi"/>
                <w:sz w:val="20"/>
                <w:szCs w:val="20"/>
              </w:rPr>
              <w:t>Air Bahan Baku</w:t>
            </w:r>
          </w:p>
        </w:tc>
        <w:tc>
          <w:tcPr>
            <w:tcW w:w="1221" w:type="dxa"/>
            <w:tcBorders>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Mg/L</w:t>
            </w:r>
          </w:p>
        </w:tc>
        <w:tc>
          <w:tcPr>
            <w:tcW w:w="1189" w:type="dxa"/>
            <w:tcBorders>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219,9</w:t>
            </w:r>
          </w:p>
        </w:tc>
        <w:tc>
          <w:tcPr>
            <w:tcW w:w="1134" w:type="dxa"/>
            <w:tcBorders>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223,1</w:t>
            </w:r>
          </w:p>
        </w:tc>
        <w:tc>
          <w:tcPr>
            <w:tcW w:w="2126" w:type="dxa"/>
            <w:tcBorders>
              <w:left w:val="nil"/>
              <w:bottom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109,95</w:t>
            </w:r>
          </w:p>
        </w:tc>
      </w:tr>
      <w:tr w:rsidR="003B324A" w:rsidTr="00711C78">
        <w:tc>
          <w:tcPr>
            <w:tcW w:w="567"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2</w:t>
            </w:r>
          </w:p>
        </w:tc>
        <w:tc>
          <w:tcPr>
            <w:tcW w:w="2977"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Pr>
                <w:rFonts w:asciiTheme="minorBidi" w:hAnsiTheme="minorBidi"/>
                <w:sz w:val="20"/>
                <w:szCs w:val="20"/>
              </w:rPr>
              <w:t>Bozem</w:t>
            </w:r>
          </w:p>
        </w:tc>
        <w:tc>
          <w:tcPr>
            <w:tcW w:w="1221"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Mg/L</w:t>
            </w:r>
          </w:p>
        </w:tc>
        <w:tc>
          <w:tcPr>
            <w:tcW w:w="1189"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32532,5</w:t>
            </w:r>
          </w:p>
        </w:tc>
        <w:tc>
          <w:tcPr>
            <w:tcW w:w="1134"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31945</w:t>
            </w:r>
          </w:p>
        </w:tc>
        <w:tc>
          <w:tcPr>
            <w:tcW w:w="2126" w:type="dxa"/>
            <w:tcBorders>
              <w:top w:val="nil"/>
              <w:left w:val="nil"/>
              <w:bottom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16266,25</w:t>
            </w:r>
          </w:p>
        </w:tc>
      </w:tr>
      <w:tr w:rsidR="003B324A" w:rsidTr="00711C78">
        <w:tc>
          <w:tcPr>
            <w:tcW w:w="567"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3</w:t>
            </w:r>
          </w:p>
        </w:tc>
        <w:tc>
          <w:tcPr>
            <w:tcW w:w="2977"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Pr>
                <w:rFonts w:asciiTheme="minorBidi" w:hAnsiTheme="minorBidi"/>
                <w:sz w:val="20"/>
                <w:szCs w:val="20"/>
              </w:rPr>
              <w:t>Peminihan</w:t>
            </w:r>
          </w:p>
        </w:tc>
        <w:tc>
          <w:tcPr>
            <w:tcW w:w="1221"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Mg/L</w:t>
            </w:r>
          </w:p>
        </w:tc>
        <w:tc>
          <w:tcPr>
            <w:tcW w:w="1189"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11892,5</w:t>
            </w:r>
          </w:p>
        </w:tc>
        <w:tc>
          <w:tcPr>
            <w:tcW w:w="1134" w:type="dxa"/>
            <w:tcBorders>
              <w:top w:val="nil"/>
              <w:left w:val="nil"/>
              <w:bottom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11740</w:t>
            </w:r>
          </w:p>
        </w:tc>
        <w:tc>
          <w:tcPr>
            <w:tcW w:w="2126" w:type="dxa"/>
            <w:tcBorders>
              <w:top w:val="nil"/>
              <w:left w:val="nil"/>
              <w:bottom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5946,25</w:t>
            </w:r>
          </w:p>
        </w:tc>
      </w:tr>
      <w:tr w:rsidR="003B324A" w:rsidTr="00711C78">
        <w:tc>
          <w:tcPr>
            <w:tcW w:w="567" w:type="dxa"/>
            <w:tcBorders>
              <w:top w:val="nil"/>
              <w:left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4</w:t>
            </w:r>
          </w:p>
        </w:tc>
        <w:tc>
          <w:tcPr>
            <w:tcW w:w="2977" w:type="dxa"/>
            <w:tcBorders>
              <w:top w:val="nil"/>
              <w:left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Pr>
                <w:rFonts w:asciiTheme="minorBidi" w:hAnsiTheme="minorBidi"/>
                <w:sz w:val="20"/>
                <w:szCs w:val="20"/>
              </w:rPr>
              <w:t>Meja Kristalisasi Tanah</w:t>
            </w:r>
          </w:p>
        </w:tc>
        <w:tc>
          <w:tcPr>
            <w:tcW w:w="1221" w:type="dxa"/>
            <w:tcBorders>
              <w:top w:val="nil"/>
              <w:left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Mg/L</w:t>
            </w:r>
          </w:p>
        </w:tc>
        <w:tc>
          <w:tcPr>
            <w:tcW w:w="1189" w:type="dxa"/>
            <w:tcBorders>
              <w:top w:val="nil"/>
              <w:left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245,9</w:t>
            </w:r>
          </w:p>
        </w:tc>
        <w:tc>
          <w:tcPr>
            <w:tcW w:w="1134" w:type="dxa"/>
            <w:tcBorders>
              <w:top w:val="nil"/>
              <w:left w:val="nil"/>
              <w:righ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243,8</w:t>
            </w:r>
          </w:p>
        </w:tc>
        <w:tc>
          <w:tcPr>
            <w:tcW w:w="2126" w:type="dxa"/>
            <w:tcBorders>
              <w:top w:val="nil"/>
              <w:left w:val="nil"/>
            </w:tcBorders>
          </w:tcPr>
          <w:p w:rsidR="003B324A" w:rsidRPr="00711C78" w:rsidRDefault="00711C78" w:rsidP="003B324A">
            <w:pPr>
              <w:widowControl w:val="0"/>
              <w:autoSpaceDE w:val="0"/>
              <w:autoSpaceDN w:val="0"/>
              <w:adjustRightInd w:val="0"/>
              <w:spacing w:line="360" w:lineRule="auto"/>
              <w:jc w:val="both"/>
              <w:rPr>
                <w:rFonts w:asciiTheme="minorBidi" w:hAnsiTheme="minorBidi"/>
                <w:sz w:val="20"/>
                <w:szCs w:val="20"/>
              </w:rPr>
            </w:pPr>
            <w:r w:rsidRPr="00711C78">
              <w:rPr>
                <w:rFonts w:asciiTheme="minorBidi" w:hAnsiTheme="minorBidi"/>
                <w:sz w:val="20"/>
                <w:szCs w:val="20"/>
              </w:rPr>
              <w:t>122,95</w:t>
            </w:r>
          </w:p>
        </w:tc>
      </w:tr>
    </w:tbl>
    <w:p w:rsidR="003B324A" w:rsidRDefault="003B324A" w:rsidP="003B324A">
      <w:pPr>
        <w:widowControl w:val="0"/>
        <w:autoSpaceDE w:val="0"/>
        <w:autoSpaceDN w:val="0"/>
        <w:adjustRightInd w:val="0"/>
        <w:spacing w:line="360" w:lineRule="auto"/>
        <w:jc w:val="both"/>
        <w:rPr>
          <w:rFonts w:asciiTheme="minorBidi" w:hAnsiTheme="minorBidi"/>
          <w:b/>
          <w:bCs/>
          <w:sz w:val="20"/>
          <w:szCs w:val="20"/>
        </w:rPr>
      </w:pPr>
    </w:p>
    <w:p w:rsidR="003D03AE" w:rsidRDefault="003D03AE" w:rsidP="00F64C48">
      <w:pPr>
        <w:spacing w:line="360" w:lineRule="auto"/>
        <w:jc w:val="both"/>
        <w:rPr>
          <w:rFonts w:asciiTheme="minorBidi" w:eastAsiaTheme="minorEastAsia" w:hAnsiTheme="minorBidi"/>
          <w:sz w:val="20"/>
          <w:szCs w:val="20"/>
        </w:rPr>
        <w:sectPr w:rsidR="003D03AE" w:rsidSect="003D03AE">
          <w:type w:val="continuous"/>
          <w:pgSz w:w="12240" w:h="15840"/>
          <w:pgMar w:top="1440" w:right="1440" w:bottom="1440" w:left="1440" w:header="708" w:footer="708" w:gutter="0"/>
          <w:cols w:space="708"/>
          <w:docGrid w:linePitch="360"/>
        </w:sectPr>
      </w:pPr>
    </w:p>
    <w:p w:rsidR="003B324A" w:rsidRDefault="00711C78" w:rsidP="00F64C48">
      <w:pPr>
        <w:spacing w:line="360" w:lineRule="auto"/>
        <w:jc w:val="both"/>
        <w:rPr>
          <w:rFonts w:asciiTheme="minorBidi" w:eastAsiaTheme="minorEastAsia" w:hAnsiTheme="minorBidi"/>
          <w:sz w:val="20"/>
          <w:szCs w:val="20"/>
        </w:rPr>
      </w:pPr>
      <w:r>
        <w:rPr>
          <w:rFonts w:asciiTheme="minorBidi" w:eastAsiaTheme="minorEastAsia" w:hAnsiTheme="minorBidi"/>
          <w:sz w:val="20"/>
          <w:szCs w:val="20"/>
        </w:rPr>
        <w:t xml:space="preserve">Berdasarkan </w:t>
      </w:r>
      <w:r>
        <w:rPr>
          <w:rFonts w:asciiTheme="minorBidi" w:eastAsiaTheme="minorEastAsia" w:hAnsiTheme="minorBidi"/>
          <w:b/>
          <w:bCs/>
          <w:sz w:val="20"/>
          <w:szCs w:val="20"/>
        </w:rPr>
        <w:t xml:space="preserve">Tabel 3 </w:t>
      </w:r>
      <w:r>
        <w:rPr>
          <w:rFonts w:asciiTheme="minorBidi" w:eastAsiaTheme="minorEastAsia" w:hAnsiTheme="minorBidi"/>
          <w:sz w:val="20"/>
          <w:szCs w:val="20"/>
        </w:rPr>
        <w:t>diatas kandungan magnesium (Mg) pada air bahan baku, Bozem, Peminihan dan meja kristalisasi tanah dilakukan 2 kali pengulangan setiap sampel, dimana pada air bahan baku kandungan magnesium (Mg) yaitu 219,9 mg/L dan 223,1 mg/L, Pada Bozem sebesar 32532,5 mg/L dan 31945 mg/L. Kandungan Magnesium (Mg) pada peminihan yaitu 11892,5 mg</w:t>
      </w:r>
      <w:r w:rsidR="00294BF8">
        <w:rPr>
          <w:rFonts w:asciiTheme="minorBidi" w:eastAsiaTheme="minorEastAsia" w:hAnsiTheme="minorBidi"/>
          <w:sz w:val="20"/>
          <w:szCs w:val="20"/>
        </w:rPr>
        <w:t>/L</w:t>
      </w:r>
      <w:r>
        <w:rPr>
          <w:rFonts w:asciiTheme="minorBidi" w:eastAsiaTheme="minorEastAsia" w:hAnsiTheme="minorBidi"/>
          <w:sz w:val="20"/>
          <w:szCs w:val="20"/>
        </w:rPr>
        <w:t xml:space="preserve"> dan 11740 </w:t>
      </w:r>
      <w:r w:rsidR="00294BF8">
        <w:rPr>
          <w:rFonts w:asciiTheme="minorBidi" w:eastAsiaTheme="minorEastAsia" w:hAnsiTheme="minorBidi"/>
          <w:sz w:val="20"/>
          <w:szCs w:val="20"/>
        </w:rPr>
        <w:t>mg/L, pada meja kristalisasi tanah yaitu 245,9 mg/L dan 243,8 mg/L.</w:t>
      </w:r>
      <w:r w:rsidR="00F21D02">
        <w:rPr>
          <w:rFonts w:asciiTheme="minorBidi" w:eastAsiaTheme="minorEastAsia" w:hAnsiTheme="minorBidi"/>
          <w:sz w:val="20"/>
          <w:szCs w:val="20"/>
        </w:rPr>
        <w:t xml:space="preserve"> Hasil Konsentrasi dari setiap sampel tersebut nilai yang diperoleh</w:t>
      </w:r>
      <w:r w:rsidR="00A055DA">
        <w:rPr>
          <w:rFonts w:asciiTheme="minorBidi" w:eastAsiaTheme="minorEastAsia" w:hAnsiTheme="minorBidi"/>
          <w:sz w:val="20"/>
          <w:szCs w:val="20"/>
        </w:rPr>
        <w:t xml:space="preserve"> yaitu </w:t>
      </w:r>
      <w:r w:rsidR="00126F0C">
        <w:rPr>
          <w:rFonts w:asciiTheme="minorBidi" w:eastAsiaTheme="minorEastAsia" w:hAnsiTheme="minorBidi"/>
          <w:sz w:val="20"/>
          <w:szCs w:val="20"/>
        </w:rPr>
        <w:t xml:space="preserve">ada perbedaan secara nyata. Kandungan air bahan baku yang terdapat di perairan Pamekasan yang berada di kecamatan </w:t>
      </w:r>
      <w:r w:rsidR="005C44B6">
        <w:rPr>
          <w:rFonts w:asciiTheme="minorBidi" w:eastAsiaTheme="minorEastAsia" w:hAnsiTheme="minorBidi"/>
          <w:sz w:val="20"/>
          <w:szCs w:val="20"/>
        </w:rPr>
        <w:t>T</w:t>
      </w:r>
      <w:r w:rsidR="00126F0C">
        <w:rPr>
          <w:rFonts w:asciiTheme="minorBidi" w:eastAsiaTheme="minorEastAsia" w:hAnsiTheme="minorBidi"/>
          <w:sz w:val="20"/>
          <w:szCs w:val="20"/>
        </w:rPr>
        <w:t>lanakan yaitu 0,2584 mg/L dan di Kecamatan Bunder yaitu 0,2929 mg/L. Kandungan Magnesium yang terdapat pada perairan Sume</w:t>
      </w:r>
      <w:r w:rsidR="003F1013">
        <w:rPr>
          <w:rFonts w:asciiTheme="minorBidi" w:eastAsiaTheme="minorEastAsia" w:hAnsiTheme="minorBidi"/>
          <w:sz w:val="20"/>
          <w:szCs w:val="20"/>
        </w:rPr>
        <w:t xml:space="preserve">nep yang terletak pada kalianget barat yaitu 0,1664 mg/L dan di Daerrah Gapura yaitu 0,2239 mg/L. Kandungan Magnesium pada air laut di daerah Sampang yaitu 384,63 mg/L. Kandungan Magnesium pada gara meja kristalisasi tanah yang terdapat pada daerah bangkalan yaitu 0,3184 mg/L dan di daerah gapura barat sumenep yaitu sekitar </w:t>
      </w:r>
      <w:r w:rsidR="00010490">
        <w:rPr>
          <w:rFonts w:asciiTheme="minorBidi" w:eastAsiaTheme="minorEastAsia" w:hAnsiTheme="minorBidi"/>
          <w:sz w:val="20"/>
          <w:szCs w:val="20"/>
        </w:rPr>
        <w:t xml:space="preserve">0,1268 mg/L. Tinggi rendahnya kandungan magnesium pada air laut sebagai bahan baku pembuatan garam  disebabkan oleh kondisi lingkungannya. Tingginya kandungan magnesium pada air bahan </w:t>
      </w:r>
      <w:proofErr w:type="gramStart"/>
      <w:r w:rsidR="00010490">
        <w:rPr>
          <w:rFonts w:asciiTheme="minorBidi" w:eastAsiaTheme="minorEastAsia" w:hAnsiTheme="minorBidi"/>
          <w:sz w:val="20"/>
          <w:szCs w:val="20"/>
        </w:rPr>
        <w:t>baku</w:t>
      </w:r>
      <w:proofErr w:type="gramEnd"/>
      <w:r w:rsidR="00010490">
        <w:rPr>
          <w:rFonts w:asciiTheme="minorBidi" w:eastAsiaTheme="minorEastAsia" w:hAnsiTheme="minorBidi"/>
          <w:sz w:val="20"/>
          <w:szCs w:val="20"/>
        </w:rPr>
        <w:t xml:space="preserve"> di perairan tambak PT.Garam Persero Pamekasan yang berlokasi di desa capak disebabkan karena adanya lalu lintas perahu di perairan dan pembuangan limbah rumah tangga yang mengakibatkan teraduknya magnesium pada lapisan dasar dan di kolam air. </w:t>
      </w:r>
      <w:proofErr w:type="gramStart"/>
      <w:r w:rsidR="00010490">
        <w:rPr>
          <w:rFonts w:asciiTheme="minorBidi" w:eastAsiaTheme="minorEastAsia" w:hAnsiTheme="minorBidi"/>
          <w:sz w:val="20"/>
          <w:szCs w:val="20"/>
        </w:rPr>
        <w:t>Menurut Rusnadi 2004 Tingginya kadungan magnesium dipengaruhi oleh pergerakan air akibat diserap organisme.</w:t>
      </w:r>
      <w:proofErr w:type="gramEnd"/>
    </w:p>
    <w:p w:rsidR="003D03AE" w:rsidRDefault="003D03AE" w:rsidP="003B324A">
      <w:pPr>
        <w:spacing w:line="360" w:lineRule="auto"/>
        <w:jc w:val="both"/>
        <w:rPr>
          <w:rFonts w:asciiTheme="minorBidi" w:eastAsiaTheme="minorEastAsia" w:hAnsiTheme="minorBidi"/>
          <w:sz w:val="20"/>
          <w:szCs w:val="20"/>
        </w:rPr>
        <w:sectPr w:rsidR="003D03AE" w:rsidSect="003D03AE">
          <w:type w:val="continuous"/>
          <w:pgSz w:w="12240" w:h="15840"/>
          <w:pgMar w:top="1440" w:right="1440" w:bottom="1440" w:left="1440" w:header="708" w:footer="708" w:gutter="0"/>
          <w:cols w:num="2" w:space="708"/>
          <w:docGrid w:linePitch="360"/>
        </w:sectPr>
      </w:pPr>
    </w:p>
    <w:p w:rsidR="00854E2F" w:rsidRPr="00711C78" w:rsidRDefault="00854E2F" w:rsidP="003B324A">
      <w:pPr>
        <w:spacing w:line="360" w:lineRule="auto"/>
        <w:jc w:val="both"/>
        <w:rPr>
          <w:rFonts w:asciiTheme="minorBidi" w:eastAsiaTheme="minorEastAsia" w:hAnsiTheme="minorBidi"/>
          <w:sz w:val="20"/>
          <w:szCs w:val="20"/>
        </w:rPr>
      </w:pPr>
    </w:p>
    <w:p w:rsidR="003D03AE" w:rsidRDefault="00176873" w:rsidP="003D03AE">
      <w:pPr>
        <w:jc w:val="center"/>
        <w:rPr>
          <w:rFonts w:ascii="Arial Narrow" w:hAnsi="Arial Narrow"/>
          <w:b/>
          <w:bCs/>
          <w:sz w:val="28"/>
          <w:szCs w:val="28"/>
        </w:rPr>
      </w:pPr>
      <w:r>
        <w:rPr>
          <w:noProof/>
        </w:rPr>
        <w:drawing>
          <wp:inline distT="0" distB="0" distL="0" distR="0" wp14:anchorId="08D0908F" wp14:editId="444667C2">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0490" w:rsidRDefault="00010490" w:rsidP="003D03AE">
      <w:pPr>
        <w:jc w:val="center"/>
        <w:rPr>
          <w:rFonts w:ascii="Arial Narrow" w:hAnsi="Arial Narrow"/>
          <w:sz w:val="24"/>
          <w:szCs w:val="24"/>
        </w:rPr>
      </w:pPr>
      <w:proofErr w:type="gramStart"/>
      <w:r>
        <w:rPr>
          <w:rFonts w:ascii="Arial Narrow" w:hAnsi="Arial Narrow"/>
          <w:b/>
          <w:bCs/>
          <w:sz w:val="24"/>
          <w:szCs w:val="24"/>
        </w:rPr>
        <w:t>Gambar.</w:t>
      </w:r>
      <w:proofErr w:type="gramEnd"/>
      <w:r>
        <w:rPr>
          <w:rFonts w:ascii="Arial Narrow" w:hAnsi="Arial Narrow"/>
          <w:b/>
          <w:bCs/>
          <w:sz w:val="24"/>
          <w:szCs w:val="24"/>
        </w:rPr>
        <w:t xml:space="preserve"> 2 </w:t>
      </w:r>
      <w:r>
        <w:rPr>
          <w:rFonts w:ascii="Arial Narrow" w:hAnsi="Arial Narrow"/>
          <w:sz w:val="24"/>
          <w:szCs w:val="24"/>
        </w:rPr>
        <w:t>Grafik Kandungan Magnesium Pada air Laut</w:t>
      </w:r>
    </w:p>
    <w:p w:rsidR="003D03AE" w:rsidRDefault="003D03AE" w:rsidP="003D03AE">
      <w:pPr>
        <w:jc w:val="center"/>
        <w:rPr>
          <w:rFonts w:ascii="Arial Narrow" w:hAnsi="Arial Narrow"/>
          <w:sz w:val="24"/>
          <w:szCs w:val="24"/>
        </w:rPr>
      </w:pPr>
    </w:p>
    <w:p w:rsidR="003D03AE" w:rsidRDefault="003D03AE" w:rsidP="003D03AE">
      <w:pPr>
        <w:jc w:val="center"/>
        <w:rPr>
          <w:rFonts w:ascii="Arial Narrow" w:hAnsi="Arial Narrow"/>
          <w:sz w:val="24"/>
          <w:szCs w:val="24"/>
        </w:rPr>
      </w:pPr>
    </w:p>
    <w:p w:rsidR="003D03AE" w:rsidRDefault="003D03AE" w:rsidP="003D03AE">
      <w:pPr>
        <w:jc w:val="center"/>
        <w:rPr>
          <w:rFonts w:ascii="Arial Narrow" w:hAnsi="Arial Narrow"/>
          <w:sz w:val="24"/>
          <w:szCs w:val="24"/>
        </w:rPr>
      </w:pPr>
    </w:p>
    <w:p w:rsidR="003D03AE" w:rsidRPr="003D03AE" w:rsidRDefault="003D03AE" w:rsidP="003D03AE">
      <w:pPr>
        <w:jc w:val="center"/>
        <w:rPr>
          <w:rFonts w:ascii="Arial Narrow" w:hAnsi="Arial Narrow"/>
          <w:b/>
          <w:bCs/>
          <w:sz w:val="28"/>
          <w:szCs w:val="28"/>
        </w:rPr>
      </w:pPr>
    </w:p>
    <w:p w:rsidR="00E70988" w:rsidRDefault="00294BF8" w:rsidP="00AD6757">
      <w:pPr>
        <w:rPr>
          <w:rFonts w:asciiTheme="minorBidi" w:hAnsiTheme="minorBidi"/>
          <w:b/>
          <w:bCs/>
          <w:sz w:val="20"/>
          <w:szCs w:val="20"/>
        </w:rPr>
      </w:pPr>
      <w:r w:rsidRPr="00F75641">
        <w:rPr>
          <w:rFonts w:asciiTheme="minorBidi" w:hAnsiTheme="minorBidi"/>
          <w:b/>
          <w:bCs/>
          <w:sz w:val="20"/>
          <w:szCs w:val="20"/>
        </w:rPr>
        <w:t>Hasil Anali</w:t>
      </w:r>
      <w:r w:rsidR="00365E59">
        <w:rPr>
          <w:rFonts w:asciiTheme="minorBidi" w:hAnsiTheme="minorBidi"/>
          <w:b/>
          <w:bCs/>
          <w:sz w:val="20"/>
          <w:szCs w:val="20"/>
        </w:rPr>
        <w:t>sa Data Kandungan Magnesium (Mg)</w:t>
      </w:r>
      <w:r w:rsidR="00624214">
        <w:rPr>
          <w:rFonts w:asciiTheme="minorBidi" w:hAnsiTheme="minorBidi"/>
          <w:b/>
          <w:bCs/>
          <w:sz w:val="20"/>
          <w:szCs w:val="20"/>
        </w:rPr>
        <w:fldChar w:fldCharType="begin" w:fldLock="1"/>
      </w:r>
      <w:r w:rsidR="00624214">
        <w:rPr>
          <w:rFonts w:asciiTheme="minorBidi" w:hAnsiTheme="minorBidi"/>
          <w:b/>
          <w:bCs/>
          <w:sz w:val="20"/>
          <w:szCs w:val="20"/>
        </w:rPr>
        <w:instrText>ADDIN CSL_CITATION {"citationItems":[{"id":"ITEM-1","itemData":{"ISBN":"9786021865224","author":[{"dropping-particle":"","family":"Efendy","given":"Makhfud","non-dropping-particle":"","parse-names":false,"suffix":""}],"container-title":"UTM Press","id":"ITEM-1","issued":{"date-parts":[["2012"]]},"page":"1-190","title":"Garam Rakyat Potensi dan Permasalahan","type":"article-journal"},"uris":["http://www.mendeley.com/documents/?uuid=418cf18f-e89d-4b47-ae1d-b4c5c751b8c8"]}],"mendeley":{"formattedCitation":"(Efendy, 2012)","plainTextFormattedCitation":"(Efendy, 2012)"},"properties":{"noteIndex":0},"schema":"https://github.com/citation-style-language/schema/raw/master/csl-citation.json"}</w:instrText>
      </w:r>
      <w:r w:rsidR="00624214">
        <w:rPr>
          <w:rFonts w:asciiTheme="minorBidi" w:hAnsiTheme="minorBidi"/>
          <w:b/>
          <w:bCs/>
          <w:sz w:val="20"/>
          <w:szCs w:val="20"/>
        </w:rPr>
        <w:fldChar w:fldCharType="separate"/>
      </w:r>
      <w:r w:rsidR="00624214" w:rsidRPr="00624214">
        <w:rPr>
          <w:rFonts w:asciiTheme="minorBidi" w:hAnsiTheme="minorBidi"/>
          <w:bCs/>
          <w:noProof/>
          <w:sz w:val="20"/>
          <w:szCs w:val="20"/>
        </w:rPr>
        <w:t>(Efendy, 2012)</w:t>
      </w:r>
      <w:r w:rsidR="00624214">
        <w:rPr>
          <w:rFonts w:asciiTheme="minorBidi" w:hAnsiTheme="minorBidi"/>
          <w:b/>
          <w:bCs/>
          <w:sz w:val="20"/>
          <w:szCs w:val="20"/>
        </w:rPr>
        <w:fldChar w:fldCharType="end"/>
      </w:r>
    </w:p>
    <w:p w:rsidR="00365E59" w:rsidRDefault="00365E59" w:rsidP="00365E59">
      <w:pPr>
        <w:spacing w:after="0"/>
        <w:rPr>
          <w:rFonts w:asciiTheme="minorBidi" w:hAnsiTheme="minorBidi"/>
          <w:b/>
          <w:bCs/>
          <w:sz w:val="20"/>
          <w:szCs w:val="20"/>
        </w:rPr>
      </w:pPr>
      <w:proofErr w:type="gramStart"/>
      <w:r>
        <w:rPr>
          <w:rFonts w:ascii="Calibri" w:eastAsia="Times New Roman" w:hAnsi="Calibri" w:cs="Calibri"/>
          <w:b/>
          <w:bCs/>
          <w:color w:val="000000"/>
        </w:rPr>
        <w:t>Tabel 4.</w:t>
      </w:r>
      <w:proofErr w:type="gramEnd"/>
      <w:r>
        <w:rPr>
          <w:rFonts w:ascii="Calibri" w:eastAsia="Times New Roman" w:hAnsi="Calibri" w:cs="Calibri"/>
          <w:b/>
          <w:bCs/>
          <w:color w:val="000000"/>
        </w:rPr>
        <w:t xml:space="preserve"> Hasil Uji Anova Kandungan Magnseium</w:t>
      </w:r>
    </w:p>
    <w:tbl>
      <w:tblPr>
        <w:tblStyle w:val="TableGrid"/>
        <w:tblW w:w="0" w:type="auto"/>
        <w:tblInd w:w="108" w:type="dxa"/>
        <w:tblLook w:val="04A0" w:firstRow="1" w:lastRow="0" w:firstColumn="1" w:lastColumn="0" w:noHBand="0" w:noVBand="1"/>
      </w:tblPr>
      <w:tblGrid>
        <w:gridCol w:w="1260"/>
        <w:gridCol w:w="1368"/>
        <w:gridCol w:w="1368"/>
        <w:gridCol w:w="1368"/>
        <w:gridCol w:w="1368"/>
        <w:gridCol w:w="1368"/>
        <w:gridCol w:w="1368"/>
      </w:tblGrid>
      <w:tr w:rsidR="00365E59" w:rsidTr="00365E59">
        <w:tc>
          <w:tcPr>
            <w:tcW w:w="1260" w:type="dxa"/>
          </w:tcPr>
          <w:p w:rsidR="00365E59" w:rsidRDefault="00365E59" w:rsidP="00624214">
            <w:pPr>
              <w:jc w:val="center"/>
              <w:rPr>
                <w:rFonts w:asciiTheme="minorBidi" w:hAnsiTheme="minorBidi"/>
                <w:b/>
                <w:bCs/>
                <w:sz w:val="20"/>
                <w:szCs w:val="20"/>
              </w:rPr>
            </w:pPr>
            <w:r>
              <w:rPr>
                <w:rFonts w:asciiTheme="minorBidi" w:hAnsiTheme="minorBidi"/>
                <w:b/>
                <w:bCs/>
                <w:sz w:val="20"/>
                <w:szCs w:val="20"/>
              </w:rPr>
              <w:t>Source of variation</w:t>
            </w:r>
          </w:p>
        </w:tc>
        <w:tc>
          <w:tcPr>
            <w:tcW w:w="1368" w:type="dxa"/>
          </w:tcPr>
          <w:p w:rsidR="00365E59" w:rsidRPr="00365E59" w:rsidRDefault="00365E59" w:rsidP="00624214">
            <w:pPr>
              <w:jc w:val="center"/>
              <w:rPr>
                <w:rFonts w:asciiTheme="minorBidi" w:hAnsiTheme="minorBidi"/>
                <w:b/>
                <w:bCs/>
                <w:sz w:val="20"/>
                <w:szCs w:val="20"/>
              </w:rPr>
            </w:pPr>
            <w:r>
              <w:rPr>
                <w:rFonts w:asciiTheme="minorBidi" w:hAnsiTheme="minorBidi"/>
                <w:b/>
                <w:bCs/>
                <w:sz w:val="20"/>
                <w:szCs w:val="20"/>
              </w:rPr>
              <w:t>SS</w:t>
            </w:r>
          </w:p>
        </w:tc>
        <w:tc>
          <w:tcPr>
            <w:tcW w:w="1368" w:type="dxa"/>
          </w:tcPr>
          <w:p w:rsidR="00365E59" w:rsidRDefault="00365E59" w:rsidP="00624214">
            <w:pPr>
              <w:jc w:val="center"/>
              <w:rPr>
                <w:rFonts w:asciiTheme="minorBidi" w:hAnsiTheme="minorBidi"/>
                <w:b/>
                <w:bCs/>
                <w:sz w:val="20"/>
                <w:szCs w:val="20"/>
              </w:rPr>
            </w:pPr>
            <w:r>
              <w:rPr>
                <w:rFonts w:asciiTheme="minorBidi" w:hAnsiTheme="minorBidi"/>
                <w:b/>
                <w:bCs/>
                <w:sz w:val="20"/>
                <w:szCs w:val="20"/>
              </w:rPr>
              <w:t>df</w:t>
            </w:r>
          </w:p>
        </w:tc>
        <w:tc>
          <w:tcPr>
            <w:tcW w:w="1368" w:type="dxa"/>
          </w:tcPr>
          <w:p w:rsidR="00365E59" w:rsidRDefault="00365E59" w:rsidP="00624214">
            <w:pPr>
              <w:jc w:val="center"/>
              <w:rPr>
                <w:rFonts w:asciiTheme="minorBidi" w:hAnsiTheme="minorBidi"/>
                <w:b/>
                <w:bCs/>
                <w:sz w:val="20"/>
                <w:szCs w:val="20"/>
              </w:rPr>
            </w:pPr>
            <w:r>
              <w:rPr>
                <w:rFonts w:asciiTheme="minorBidi" w:hAnsiTheme="minorBidi"/>
                <w:b/>
                <w:bCs/>
                <w:sz w:val="20"/>
                <w:szCs w:val="20"/>
              </w:rPr>
              <w:t>MS</w:t>
            </w:r>
          </w:p>
        </w:tc>
        <w:tc>
          <w:tcPr>
            <w:tcW w:w="1368" w:type="dxa"/>
          </w:tcPr>
          <w:p w:rsidR="00365E59" w:rsidRDefault="00365E59" w:rsidP="00624214">
            <w:pPr>
              <w:jc w:val="center"/>
              <w:rPr>
                <w:rFonts w:asciiTheme="minorBidi" w:hAnsiTheme="minorBidi"/>
                <w:b/>
                <w:bCs/>
                <w:sz w:val="20"/>
                <w:szCs w:val="20"/>
              </w:rPr>
            </w:pPr>
            <w:r>
              <w:rPr>
                <w:rFonts w:asciiTheme="minorBidi" w:hAnsiTheme="minorBidi"/>
                <w:b/>
                <w:bCs/>
                <w:sz w:val="20"/>
                <w:szCs w:val="20"/>
              </w:rPr>
              <w:t>F</w:t>
            </w:r>
          </w:p>
        </w:tc>
        <w:tc>
          <w:tcPr>
            <w:tcW w:w="1368" w:type="dxa"/>
          </w:tcPr>
          <w:p w:rsidR="00365E59" w:rsidRDefault="00365E59" w:rsidP="00624214">
            <w:pPr>
              <w:jc w:val="center"/>
              <w:rPr>
                <w:rFonts w:asciiTheme="minorBidi" w:hAnsiTheme="minorBidi"/>
                <w:b/>
                <w:bCs/>
                <w:sz w:val="20"/>
                <w:szCs w:val="20"/>
              </w:rPr>
            </w:pPr>
            <w:r>
              <w:rPr>
                <w:rFonts w:asciiTheme="minorBidi" w:hAnsiTheme="minorBidi"/>
                <w:b/>
                <w:bCs/>
                <w:sz w:val="20"/>
                <w:szCs w:val="20"/>
              </w:rPr>
              <w:t>P- Value</w:t>
            </w:r>
          </w:p>
        </w:tc>
        <w:tc>
          <w:tcPr>
            <w:tcW w:w="1368" w:type="dxa"/>
          </w:tcPr>
          <w:p w:rsidR="00365E59" w:rsidRDefault="00365E59" w:rsidP="00624214">
            <w:pPr>
              <w:jc w:val="center"/>
              <w:rPr>
                <w:rFonts w:asciiTheme="minorBidi" w:hAnsiTheme="minorBidi"/>
                <w:b/>
                <w:bCs/>
                <w:sz w:val="20"/>
                <w:szCs w:val="20"/>
              </w:rPr>
            </w:pPr>
            <w:r>
              <w:rPr>
                <w:rFonts w:asciiTheme="minorBidi" w:hAnsiTheme="minorBidi"/>
                <w:b/>
                <w:bCs/>
                <w:sz w:val="20"/>
                <w:szCs w:val="20"/>
              </w:rPr>
              <w:t>F Crit</w:t>
            </w:r>
          </w:p>
        </w:tc>
      </w:tr>
      <w:tr w:rsidR="00365E59" w:rsidTr="00365E59">
        <w:tc>
          <w:tcPr>
            <w:tcW w:w="1260" w:type="dxa"/>
            <w:vMerge w:val="restart"/>
          </w:tcPr>
          <w:p w:rsidR="00365E59" w:rsidRPr="00365E59" w:rsidRDefault="00365E59" w:rsidP="00AD6757">
            <w:pPr>
              <w:rPr>
                <w:rFonts w:asciiTheme="minorBidi" w:hAnsiTheme="minorBidi"/>
                <w:sz w:val="20"/>
                <w:szCs w:val="20"/>
              </w:rPr>
            </w:pPr>
            <w:r w:rsidRPr="00365E59">
              <w:rPr>
                <w:rFonts w:asciiTheme="minorBidi" w:hAnsiTheme="minorBidi"/>
                <w:sz w:val="20"/>
                <w:szCs w:val="20"/>
              </w:rPr>
              <w:t>Between Groups within groups</w:t>
            </w:r>
          </w:p>
        </w:tc>
        <w:tc>
          <w:tcPr>
            <w:tcW w:w="1368" w:type="dxa"/>
          </w:tcPr>
          <w:p w:rsidR="00365E59" w:rsidRPr="00365E59" w:rsidRDefault="00365E59" w:rsidP="00AD6757">
            <w:pPr>
              <w:rPr>
                <w:rFonts w:asciiTheme="minorBidi" w:hAnsiTheme="minorBidi"/>
                <w:sz w:val="20"/>
                <w:szCs w:val="20"/>
              </w:rPr>
            </w:pPr>
            <w:r w:rsidRPr="00365E59">
              <w:rPr>
                <w:rFonts w:asciiTheme="minorBidi" w:hAnsiTheme="minorBidi"/>
                <w:sz w:val="20"/>
                <w:szCs w:val="20"/>
              </w:rPr>
              <w:t>68246,65</w:t>
            </w:r>
          </w:p>
        </w:tc>
        <w:tc>
          <w:tcPr>
            <w:tcW w:w="1368" w:type="dxa"/>
          </w:tcPr>
          <w:p w:rsidR="00365E59" w:rsidRPr="00365E59" w:rsidRDefault="00365E59" w:rsidP="00AD6757">
            <w:pPr>
              <w:rPr>
                <w:rFonts w:asciiTheme="minorBidi" w:hAnsiTheme="minorBidi"/>
                <w:sz w:val="20"/>
                <w:szCs w:val="20"/>
              </w:rPr>
            </w:pPr>
            <w:r w:rsidRPr="00365E59">
              <w:rPr>
                <w:rFonts w:asciiTheme="minorBidi" w:hAnsiTheme="minorBidi"/>
                <w:sz w:val="20"/>
                <w:szCs w:val="20"/>
              </w:rPr>
              <w:t>1</w:t>
            </w:r>
          </w:p>
        </w:tc>
        <w:tc>
          <w:tcPr>
            <w:tcW w:w="1368" w:type="dxa"/>
          </w:tcPr>
          <w:p w:rsidR="00365E59" w:rsidRPr="00365E59" w:rsidRDefault="00365E59" w:rsidP="00AD6757">
            <w:pPr>
              <w:rPr>
                <w:rFonts w:asciiTheme="minorBidi" w:hAnsiTheme="minorBidi"/>
                <w:sz w:val="20"/>
                <w:szCs w:val="20"/>
              </w:rPr>
            </w:pPr>
            <w:r w:rsidRPr="00365E59">
              <w:rPr>
                <w:rFonts w:asciiTheme="minorBidi" w:hAnsiTheme="minorBidi"/>
                <w:sz w:val="20"/>
                <w:szCs w:val="20"/>
              </w:rPr>
              <w:t>68246,65</w:t>
            </w:r>
          </w:p>
        </w:tc>
        <w:tc>
          <w:tcPr>
            <w:tcW w:w="1368" w:type="dxa"/>
          </w:tcPr>
          <w:p w:rsidR="00365E59" w:rsidRPr="00365E59" w:rsidRDefault="00365E59" w:rsidP="00AD6757">
            <w:pPr>
              <w:rPr>
                <w:rFonts w:asciiTheme="minorBidi" w:hAnsiTheme="minorBidi"/>
                <w:sz w:val="20"/>
                <w:szCs w:val="20"/>
              </w:rPr>
            </w:pPr>
            <w:r w:rsidRPr="00365E59">
              <w:rPr>
                <w:rFonts w:asciiTheme="minorBidi" w:hAnsiTheme="minorBidi"/>
                <w:sz w:val="20"/>
                <w:szCs w:val="20"/>
              </w:rPr>
              <w:t>0,0003</w:t>
            </w:r>
          </w:p>
        </w:tc>
        <w:tc>
          <w:tcPr>
            <w:tcW w:w="1368" w:type="dxa"/>
          </w:tcPr>
          <w:p w:rsidR="00365E59" w:rsidRPr="00365E59" w:rsidRDefault="00365E59" w:rsidP="00AD6757">
            <w:pPr>
              <w:rPr>
                <w:rFonts w:asciiTheme="minorBidi" w:hAnsiTheme="minorBidi"/>
                <w:sz w:val="20"/>
                <w:szCs w:val="20"/>
              </w:rPr>
            </w:pPr>
            <w:r w:rsidRPr="00365E59">
              <w:rPr>
                <w:rFonts w:asciiTheme="minorBidi" w:hAnsiTheme="minorBidi"/>
                <w:sz w:val="20"/>
                <w:szCs w:val="20"/>
              </w:rPr>
              <w:t>0,986753</w:t>
            </w:r>
          </w:p>
        </w:tc>
        <w:tc>
          <w:tcPr>
            <w:tcW w:w="1368" w:type="dxa"/>
          </w:tcPr>
          <w:p w:rsidR="00365E59" w:rsidRPr="00365E59" w:rsidRDefault="00365E59" w:rsidP="00AD6757">
            <w:pPr>
              <w:rPr>
                <w:rFonts w:asciiTheme="minorBidi" w:hAnsiTheme="minorBidi"/>
                <w:sz w:val="20"/>
                <w:szCs w:val="20"/>
              </w:rPr>
            </w:pPr>
            <w:r w:rsidRPr="00365E59">
              <w:rPr>
                <w:rFonts w:asciiTheme="minorBidi" w:hAnsiTheme="minorBidi"/>
                <w:sz w:val="20"/>
                <w:szCs w:val="20"/>
              </w:rPr>
              <w:t>5,987378</w:t>
            </w:r>
          </w:p>
        </w:tc>
      </w:tr>
      <w:tr w:rsidR="00365E59" w:rsidTr="00365E59">
        <w:tc>
          <w:tcPr>
            <w:tcW w:w="1260" w:type="dxa"/>
            <w:vMerge/>
          </w:tcPr>
          <w:p w:rsidR="00365E59" w:rsidRPr="00365E59" w:rsidRDefault="00365E59" w:rsidP="00AD6757">
            <w:pPr>
              <w:rPr>
                <w:rFonts w:asciiTheme="minorBidi" w:hAnsiTheme="minorBidi"/>
                <w:sz w:val="20"/>
                <w:szCs w:val="20"/>
              </w:rPr>
            </w:pPr>
          </w:p>
        </w:tc>
        <w:tc>
          <w:tcPr>
            <w:tcW w:w="1368" w:type="dxa"/>
          </w:tcPr>
          <w:p w:rsidR="00365E59" w:rsidRPr="00365E59" w:rsidRDefault="00365E59" w:rsidP="00AD6757">
            <w:pPr>
              <w:rPr>
                <w:rFonts w:asciiTheme="minorBidi" w:hAnsiTheme="minorBidi"/>
                <w:sz w:val="20"/>
                <w:szCs w:val="20"/>
              </w:rPr>
            </w:pPr>
            <w:r w:rsidRPr="00365E59">
              <w:rPr>
                <w:rFonts w:ascii="Calibri" w:eastAsia="Times New Roman" w:hAnsi="Calibri" w:cs="Calibri"/>
                <w:color w:val="000000"/>
              </w:rPr>
              <w:t>1,37E+09</w:t>
            </w:r>
          </w:p>
        </w:tc>
        <w:tc>
          <w:tcPr>
            <w:tcW w:w="1368" w:type="dxa"/>
          </w:tcPr>
          <w:p w:rsidR="00365E59" w:rsidRPr="00365E59" w:rsidRDefault="00365E59" w:rsidP="00AD6757">
            <w:pPr>
              <w:rPr>
                <w:rFonts w:asciiTheme="minorBidi" w:hAnsiTheme="minorBidi"/>
                <w:sz w:val="20"/>
                <w:szCs w:val="20"/>
              </w:rPr>
            </w:pPr>
            <w:r w:rsidRPr="00365E59">
              <w:rPr>
                <w:rFonts w:ascii="Calibri" w:eastAsia="Times New Roman" w:hAnsi="Calibri" w:cs="Calibri"/>
                <w:color w:val="000000"/>
              </w:rPr>
              <w:t>6</w:t>
            </w:r>
          </w:p>
        </w:tc>
        <w:tc>
          <w:tcPr>
            <w:tcW w:w="1368" w:type="dxa"/>
          </w:tcPr>
          <w:p w:rsidR="00365E59" w:rsidRPr="00365E59" w:rsidRDefault="00365E59" w:rsidP="00AD6757">
            <w:pPr>
              <w:rPr>
                <w:rFonts w:asciiTheme="minorBidi" w:hAnsiTheme="minorBidi"/>
                <w:sz w:val="20"/>
                <w:szCs w:val="20"/>
              </w:rPr>
            </w:pPr>
            <w:r w:rsidRPr="00365E59">
              <w:rPr>
                <w:rFonts w:ascii="Calibri" w:eastAsia="Times New Roman" w:hAnsi="Calibri" w:cs="Calibri"/>
                <w:color w:val="000000"/>
              </w:rPr>
              <w:t>2,28E+08</w:t>
            </w:r>
          </w:p>
        </w:tc>
        <w:tc>
          <w:tcPr>
            <w:tcW w:w="1368" w:type="dxa"/>
          </w:tcPr>
          <w:p w:rsidR="00365E59" w:rsidRPr="00365E59" w:rsidRDefault="00365E59" w:rsidP="00AD6757">
            <w:pPr>
              <w:rPr>
                <w:rFonts w:asciiTheme="minorBidi" w:hAnsiTheme="minorBidi"/>
                <w:sz w:val="20"/>
                <w:szCs w:val="20"/>
              </w:rPr>
            </w:pPr>
          </w:p>
        </w:tc>
        <w:tc>
          <w:tcPr>
            <w:tcW w:w="1368" w:type="dxa"/>
          </w:tcPr>
          <w:p w:rsidR="00365E59" w:rsidRPr="00365E59" w:rsidRDefault="00365E59" w:rsidP="00AD6757">
            <w:pPr>
              <w:rPr>
                <w:rFonts w:asciiTheme="minorBidi" w:hAnsiTheme="minorBidi"/>
                <w:sz w:val="20"/>
                <w:szCs w:val="20"/>
              </w:rPr>
            </w:pPr>
          </w:p>
        </w:tc>
        <w:tc>
          <w:tcPr>
            <w:tcW w:w="1368" w:type="dxa"/>
          </w:tcPr>
          <w:p w:rsidR="00365E59" w:rsidRPr="00365E59" w:rsidRDefault="00365E59" w:rsidP="00AD6757">
            <w:pPr>
              <w:rPr>
                <w:rFonts w:asciiTheme="minorBidi" w:hAnsiTheme="minorBidi"/>
                <w:sz w:val="20"/>
                <w:szCs w:val="20"/>
              </w:rPr>
            </w:pPr>
          </w:p>
        </w:tc>
      </w:tr>
      <w:tr w:rsidR="00365E59" w:rsidTr="00365E59">
        <w:tc>
          <w:tcPr>
            <w:tcW w:w="1260" w:type="dxa"/>
          </w:tcPr>
          <w:p w:rsidR="00365E59" w:rsidRPr="00365E59" w:rsidRDefault="00365E59" w:rsidP="00AD6757">
            <w:pPr>
              <w:rPr>
                <w:rFonts w:asciiTheme="minorBidi" w:hAnsiTheme="minorBidi"/>
                <w:sz w:val="20"/>
                <w:szCs w:val="20"/>
              </w:rPr>
            </w:pPr>
            <w:r w:rsidRPr="00365E59">
              <w:rPr>
                <w:rFonts w:asciiTheme="minorBidi" w:hAnsiTheme="minorBidi"/>
                <w:sz w:val="20"/>
                <w:szCs w:val="20"/>
              </w:rPr>
              <w:t>Total</w:t>
            </w:r>
          </w:p>
        </w:tc>
        <w:tc>
          <w:tcPr>
            <w:tcW w:w="1368" w:type="dxa"/>
          </w:tcPr>
          <w:p w:rsidR="00365E59" w:rsidRPr="00365E59" w:rsidRDefault="00365E59" w:rsidP="0017789E">
            <w:pPr>
              <w:rPr>
                <w:rFonts w:asciiTheme="minorBidi" w:hAnsiTheme="minorBidi"/>
                <w:sz w:val="20"/>
                <w:szCs w:val="20"/>
              </w:rPr>
            </w:pPr>
            <w:r w:rsidRPr="00365E59">
              <w:rPr>
                <w:rFonts w:ascii="Calibri" w:eastAsia="Times New Roman" w:hAnsi="Calibri" w:cs="Calibri"/>
                <w:color w:val="000000"/>
              </w:rPr>
              <w:t>1,37E+09</w:t>
            </w:r>
          </w:p>
        </w:tc>
        <w:tc>
          <w:tcPr>
            <w:tcW w:w="1368" w:type="dxa"/>
          </w:tcPr>
          <w:p w:rsidR="00365E59" w:rsidRPr="00365E59" w:rsidRDefault="00365E59" w:rsidP="00AD6757">
            <w:pPr>
              <w:rPr>
                <w:rFonts w:asciiTheme="minorBidi" w:hAnsiTheme="minorBidi"/>
                <w:sz w:val="20"/>
                <w:szCs w:val="20"/>
              </w:rPr>
            </w:pPr>
          </w:p>
        </w:tc>
        <w:tc>
          <w:tcPr>
            <w:tcW w:w="1368" w:type="dxa"/>
          </w:tcPr>
          <w:p w:rsidR="00365E59" w:rsidRPr="00365E59" w:rsidRDefault="00365E59" w:rsidP="00AD6757">
            <w:pPr>
              <w:rPr>
                <w:rFonts w:asciiTheme="minorBidi" w:hAnsiTheme="minorBidi"/>
                <w:sz w:val="20"/>
                <w:szCs w:val="20"/>
              </w:rPr>
            </w:pPr>
          </w:p>
        </w:tc>
        <w:tc>
          <w:tcPr>
            <w:tcW w:w="1368" w:type="dxa"/>
          </w:tcPr>
          <w:p w:rsidR="00365E59" w:rsidRPr="00365E59" w:rsidRDefault="00365E59" w:rsidP="00AD6757">
            <w:pPr>
              <w:rPr>
                <w:rFonts w:asciiTheme="minorBidi" w:hAnsiTheme="minorBidi"/>
                <w:sz w:val="20"/>
                <w:szCs w:val="20"/>
              </w:rPr>
            </w:pPr>
          </w:p>
        </w:tc>
        <w:tc>
          <w:tcPr>
            <w:tcW w:w="1368" w:type="dxa"/>
          </w:tcPr>
          <w:p w:rsidR="00365E59" w:rsidRPr="00365E59" w:rsidRDefault="00365E59" w:rsidP="00AD6757">
            <w:pPr>
              <w:rPr>
                <w:rFonts w:asciiTheme="minorBidi" w:hAnsiTheme="minorBidi"/>
                <w:sz w:val="20"/>
                <w:szCs w:val="20"/>
              </w:rPr>
            </w:pPr>
          </w:p>
        </w:tc>
        <w:tc>
          <w:tcPr>
            <w:tcW w:w="1368" w:type="dxa"/>
          </w:tcPr>
          <w:p w:rsidR="00365E59" w:rsidRPr="00365E59" w:rsidRDefault="00365E59" w:rsidP="00AD6757">
            <w:pPr>
              <w:rPr>
                <w:rFonts w:asciiTheme="minorBidi" w:hAnsiTheme="minorBidi"/>
                <w:sz w:val="20"/>
                <w:szCs w:val="20"/>
              </w:rPr>
            </w:pPr>
          </w:p>
        </w:tc>
      </w:tr>
    </w:tbl>
    <w:p w:rsidR="003D03AE" w:rsidRDefault="003D03AE" w:rsidP="00B55DBA">
      <w:pPr>
        <w:spacing w:line="360" w:lineRule="auto"/>
        <w:jc w:val="both"/>
        <w:rPr>
          <w:rFonts w:asciiTheme="minorBidi" w:hAnsiTheme="minorBidi"/>
          <w:sz w:val="20"/>
          <w:szCs w:val="20"/>
        </w:rPr>
        <w:sectPr w:rsidR="003D03AE" w:rsidSect="003D03AE">
          <w:type w:val="continuous"/>
          <w:pgSz w:w="12240" w:h="15840"/>
          <w:pgMar w:top="1440" w:right="1440" w:bottom="1440" w:left="1440" w:header="708" w:footer="708" w:gutter="0"/>
          <w:cols w:space="708"/>
          <w:docGrid w:linePitch="360"/>
        </w:sectPr>
      </w:pPr>
    </w:p>
    <w:p w:rsidR="00A805F8" w:rsidRPr="00BF20B3" w:rsidRDefault="00606E53" w:rsidP="00BF20B3">
      <w:pPr>
        <w:spacing w:line="360" w:lineRule="auto"/>
        <w:jc w:val="both"/>
        <w:rPr>
          <w:rFonts w:asciiTheme="minorBidi" w:eastAsiaTheme="minorEastAsia" w:hAnsiTheme="minorBidi"/>
          <w:sz w:val="20"/>
          <w:szCs w:val="20"/>
        </w:rPr>
      </w:pPr>
      <w:r w:rsidRPr="00F64C48">
        <w:rPr>
          <w:rFonts w:asciiTheme="minorBidi" w:hAnsiTheme="minorBidi"/>
          <w:sz w:val="20"/>
          <w:szCs w:val="20"/>
        </w:rPr>
        <w:t>Berdasarkan tabel diatas didapatkan nilai P-Value sebesar 0</w:t>
      </w:r>
      <w:proofErr w:type="gramStart"/>
      <w:r w:rsidRPr="00F64C48">
        <w:rPr>
          <w:rFonts w:asciiTheme="minorBidi" w:hAnsiTheme="minorBidi"/>
          <w:sz w:val="20"/>
          <w:szCs w:val="20"/>
        </w:rPr>
        <w:t>,9</w:t>
      </w:r>
      <w:r w:rsidR="00B55DBA" w:rsidRPr="00F64C48">
        <w:rPr>
          <w:rFonts w:asciiTheme="minorBidi" w:hAnsiTheme="minorBidi"/>
          <w:sz w:val="20"/>
          <w:szCs w:val="20"/>
        </w:rPr>
        <w:t>867</w:t>
      </w:r>
      <w:proofErr w:type="gramEnd"/>
      <w:r w:rsidR="00B55DBA" w:rsidRPr="00F64C48">
        <w:rPr>
          <w:rFonts w:asciiTheme="minorBidi" w:hAnsiTheme="minorBidi"/>
          <w:sz w:val="20"/>
          <w:szCs w:val="20"/>
        </w:rPr>
        <w:t>. Nilai P-Value kadar Magnesium &gt; nilai alpha () atau (0</w:t>
      </w:r>
      <w:proofErr w:type="gramStart"/>
      <w:r w:rsidR="00B55DBA" w:rsidRPr="00F64C48">
        <w:rPr>
          <w:rFonts w:asciiTheme="minorBidi" w:hAnsiTheme="minorBidi"/>
          <w:sz w:val="20"/>
          <w:szCs w:val="20"/>
        </w:rPr>
        <w:t>,9867</w:t>
      </w:r>
      <w:proofErr w:type="gramEnd"/>
      <w:r w:rsidR="00B55DBA" w:rsidRPr="00F64C48">
        <w:rPr>
          <w:rFonts w:asciiTheme="minorBidi" w:hAnsiTheme="minorBidi"/>
          <w:sz w:val="20"/>
          <w:szCs w:val="20"/>
        </w:rPr>
        <w:t xml:space="preserve"> &gt; 0,05). Nilai P-value lebih besar dari nilai alpha menandakan bahwa terimah H0 yang berarti nilai kandungan magnesium pada </w:t>
      </w:r>
      <w:r w:rsidR="00B55DBA" w:rsidRPr="00F64C48">
        <w:rPr>
          <w:rFonts w:asciiTheme="minorBidi" w:eastAsiaTheme="minorEastAsia" w:hAnsiTheme="minorBidi"/>
          <w:sz w:val="20"/>
          <w:szCs w:val="20"/>
        </w:rPr>
        <w:t>air bahan baku, bozem, peminihan dan meja kristalisasi Tanah tidak ada Perbedaan rata-rata kandunga</w:t>
      </w:r>
      <w:r w:rsidR="00C80C86">
        <w:rPr>
          <w:rFonts w:asciiTheme="minorBidi" w:eastAsiaTheme="minorEastAsia" w:hAnsiTheme="minorBidi"/>
          <w:sz w:val="20"/>
          <w:szCs w:val="20"/>
        </w:rPr>
        <w:t>n magnesium atau rata-ratanya sama</w:t>
      </w:r>
    </w:p>
    <w:p w:rsidR="00294BF8" w:rsidRPr="00F75641" w:rsidRDefault="00294BF8" w:rsidP="002D674E">
      <w:pPr>
        <w:jc w:val="center"/>
        <w:rPr>
          <w:rFonts w:asciiTheme="minorBidi" w:hAnsiTheme="minorBidi"/>
          <w:b/>
          <w:bCs/>
          <w:sz w:val="20"/>
          <w:szCs w:val="20"/>
        </w:rPr>
      </w:pPr>
      <w:r w:rsidRPr="00F75641">
        <w:rPr>
          <w:rFonts w:asciiTheme="minorBidi" w:hAnsiTheme="minorBidi"/>
          <w:b/>
          <w:bCs/>
          <w:sz w:val="20"/>
          <w:szCs w:val="20"/>
        </w:rPr>
        <w:t>KESIMPULAN DAN SARAN</w:t>
      </w:r>
    </w:p>
    <w:p w:rsidR="002D674E" w:rsidRDefault="00CA6C06" w:rsidP="00BF20B3">
      <w:pPr>
        <w:jc w:val="both"/>
        <w:rPr>
          <w:rFonts w:asciiTheme="minorBidi" w:eastAsiaTheme="minorEastAsia" w:hAnsiTheme="minorBidi"/>
          <w:sz w:val="20"/>
          <w:szCs w:val="20"/>
        </w:rPr>
      </w:pPr>
      <w:r w:rsidRPr="00CA6C06">
        <w:rPr>
          <w:rFonts w:asciiTheme="minorBidi" w:hAnsiTheme="minorBidi"/>
          <w:sz w:val="20"/>
          <w:szCs w:val="20"/>
        </w:rPr>
        <w:t>Kandungan magnesium pada air bahan baku yaitu sebesar</w:t>
      </w:r>
      <w:r w:rsidRPr="00CA6C06">
        <w:rPr>
          <w:rFonts w:asciiTheme="minorBidi" w:hAnsiTheme="minorBidi"/>
          <w:b/>
          <w:bCs/>
          <w:sz w:val="20"/>
          <w:szCs w:val="20"/>
        </w:rPr>
        <w:t xml:space="preserve"> </w:t>
      </w:r>
      <w:r w:rsidRPr="00CA6C06">
        <w:rPr>
          <w:rFonts w:asciiTheme="minorBidi" w:eastAsiaTheme="minorEastAsia" w:hAnsiTheme="minorBidi"/>
          <w:sz w:val="20"/>
          <w:szCs w:val="20"/>
        </w:rPr>
        <w:t>219,9 mg/L dan 223,1 mg/L, Pada Bozem sebesar 32532,5 mg/L dan 31945 mg/L. Kandungan Magnesium (Mg) pada peminihan yaitu 11892,5 mg/L dan 11740 mg/L, pada meja kristalisasi tanah yaitu 245,9 mg/L dan 243,8 mg/L</w:t>
      </w:r>
      <w:r w:rsidR="00B55DBA">
        <w:rPr>
          <w:rFonts w:asciiTheme="minorBidi" w:eastAsiaTheme="minorEastAsia" w:hAnsiTheme="minorBidi"/>
          <w:sz w:val="20"/>
          <w:szCs w:val="20"/>
        </w:rPr>
        <w:t>. Kandungan Magnesium pada setiap pengulangan analisa air bahan baku, bozem, peminihan dan meja kristalisasi Tanah</w:t>
      </w:r>
      <w:r w:rsidR="00B55DBA" w:rsidRPr="00B55DBA">
        <w:rPr>
          <w:rFonts w:asciiTheme="minorBidi" w:eastAsiaTheme="minorEastAsia" w:hAnsiTheme="minorBidi"/>
          <w:sz w:val="20"/>
          <w:szCs w:val="20"/>
        </w:rPr>
        <w:t xml:space="preserve"> </w:t>
      </w:r>
      <w:r w:rsidR="00B55DBA">
        <w:rPr>
          <w:rFonts w:asciiTheme="minorBidi" w:eastAsiaTheme="minorEastAsia" w:hAnsiTheme="minorBidi"/>
          <w:sz w:val="20"/>
          <w:szCs w:val="20"/>
        </w:rPr>
        <w:t xml:space="preserve">tidak </w:t>
      </w:r>
      <w:r w:rsidR="00B55DBA" w:rsidRPr="00BB49C7">
        <w:rPr>
          <w:rFonts w:asciiTheme="minorBidi" w:eastAsiaTheme="minorEastAsia" w:hAnsiTheme="minorBidi"/>
          <w:sz w:val="20"/>
          <w:szCs w:val="20"/>
        </w:rPr>
        <w:t>ada Perbedaan ra</w:t>
      </w:r>
      <w:r w:rsidR="00B55DBA">
        <w:rPr>
          <w:rFonts w:asciiTheme="minorBidi" w:eastAsiaTheme="minorEastAsia" w:hAnsiTheme="minorBidi"/>
          <w:sz w:val="20"/>
          <w:szCs w:val="20"/>
        </w:rPr>
        <w:t>ta-rata kandungan magnesium.</w:t>
      </w:r>
    </w:p>
    <w:p w:rsidR="002D674E" w:rsidRPr="00CA6C06" w:rsidRDefault="002D674E" w:rsidP="00F64C48">
      <w:pPr>
        <w:jc w:val="both"/>
        <w:rPr>
          <w:rFonts w:asciiTheme="minorBidi" w:hAnsiTheme="minorBidi"/>
          <w:b/>
          <w:bCs/>
          <w:sz w:val="20"/>
          <w:szCs w:val="20"/>
        </w:rPr>
      </w:pPr>
    </w:p>
    <w:p w:rsidR="002D674E" w:rsidRPr="00F75641" w:rsidRDefault="00A805F8" w:rsidP="00F75641">
      <w:pPr>
        <w:jc w:val="center"/>
        <w:rPr>
          <w:rFonts w:asciiTheme="minorBidi" w:hAnsiTheme="minorBidi"/>
          <w:b/>
          <w:bCs/>
          <w:sz w:val="20"/>
          <w:szCs w:val="20"/>
        </w:rPr>
      </w:pPr>
      <w:r w:rsidRPr="00F75641">
        <w:rPr>
          <w:rFonts w:asciiTheme="minorBidi" w:hAnsiTheme="minorBidi"/>
          <w:b/>
          <w:bCs/>
          <w:sz w:val="20"/>
          <w:szCs w:val="20"/>
        </w:rPr>
        <w:t>UCAPAN TERIMAH KASIH</w:t>
      </w:r>
    </w:p>
    <w:p w:rsidR="00176873" w:rsidRPr="00776CEA" w:rsidRDefault="00A805F8" w:rsidP="00176873">
      <w:pPr>
        <w:spacing w:line="360" w:lineRule="auto"/>
        <w:jc w:val="both"/>
        <w:rPr>
          <w:rFonts w:asciiTheme="minorBidi" w:hAnsiTheme="minorBidi"/>
          <w:sz w:val="20"/>
          <w:szCs w:val="20"/>
        </w:rPr>
      </w:pPr>
      <w:proofErr w:type="gramStart"/>
      <w:r w:rsidRPr="00BB49C7">
        <w:rPr>
          <w:rFonts w:asciiTheme="minorBidi" w:hAnsiTheme="minorBidi"/>
          <w:sz w:val="20"/>
          <w:szCs w:val="20"/>
        </w:rPr>
        <w:t>Terimah kasih kepada lembaga penelitian magang riset MBKM Universitas Trunojoyo Madura dan Laboratorium Balai Riset dan Standardisasi Industri Surabaya.</w:t>
      </w:r>
      <w:proofErr w:type="gramEnd"/>
    </w:p>
    <w:p w:rsidR="00A805F8" w:rsidRPr="00F75641" w:rsidRDefault="00A805F8" w:rsidP="002D674E">
      <w:pPr>
        <w:jc w:val="center"/>
        <w:rPr>
          <w:rFonts w:asciiTheme="minorBidi" w:hAnsiTheme="minorBidi"/>
          <w:b/>
          <w:bCs/>
          <w:sz w:val="20"/>
          <w:szCs w:val="20"/>
        </w:rPr>
      </w:pPr>
      <w:r w:rsidRPr="00F75641">
        <w:rPr>
          <w:rFonts w:asciiTheme="minorBidi" w:hAnsiTheme="minorBidi"/>
          <w:b/>
          <w:bCs/>
          <w:sz w:val="20"/>
          <w:szCs w:val="20"/>
        </w:rPr>
        <w:t>DAFTAR PUSTAKA</w:t>
      </w:r>
    </w:p>
    <w:p w:rsidR="00D42258" w:rsidRPr="00176873" w:rsidRDefault="00D42258" w:rsidP="00D42258">
      <w:pPr>
        <w:widowControl w:val="0"/>
        <w:autoSpaceDE w:val="0"/>
        <w:autoSpaceDN w:val="0"/>
        <w:adjustRightInd w:val="0"/>
        <w:spacing w:line="240" w:lineRule="auto"/>
        <w:ind w:left="480" w:hanging="480"/>
        <w:jc w:val="both"/>
        <w:rPr>
          <w:rFonts w:asciiTheme="minorBidi" w:hAnsiTheme="minorBidi"/>
          <w:noProof/>
          <w:sz w:val="20"/>
          <w:szCs w:val="20"/>
        </w:rPr>
      </w:pPr>
      <w:r w:rsidRPr="00176873">
        <w:rPr>
          <w:rFonts w:asciiTheme="minorBidi" w:hAnsiTheme="minorBidi"/>
          <w:noProof/>
          <w:sz w:val="20"/>
          <w:szCs w:val="20"/>
        </w:rPr>
        <w:t xml:space="preserve">Arwiyah. (2015). STUDI KANDUNGAN NaCl DI DALAM AIR BAKU DAN GARAM YANG MEDIA MEJA GARAM YANG BERBEDA STUDY OF NaCL CONTENT IN RAW WATER AND THEIR SALT PRODUCTION AND PRODUCTIVITY. </w:t>
      </w:r>
      <w:r w:rsidRPr="00176873">
        <w:rPr>
          <w:rFonts w:asciiTheme="minorBidi" w:hAnsiTheme="minorBidi"/>
          <w:i/>
          <w:iCs/>
          <w:noProof/>
          <w:sz w:val="20"/>
          <w:szCs w:val="20"/>
        </w:rPr>
        <w:t>Jurnal Kelautan Volume 8, No. 1, April 2015 ISSN: 1907-9931</w:t>
      </w:r>
      <w:r w:rsidRPr="00176873">
        <w:rPr>
          <w:rFonts w:asciiTheme="minorBidi" w:hAnsiTheme="minorBidi"/>
          <w:noProof/>
          <w:sz w:val="20"/>
          <w:szCs w:val="20"/>
        </w:rPr>
        <w:t xml:space="preserve">, </w:t>
      </w:r>
      <w:r w:rsidRPr="00176873">
        <w:rPr>
          <w:rFonts w:asciiTheme="minorBidi" w:hAnsiTheme="minorBidi"/>
          <w:i/>
          <w:iCs/>
          <w:noProof/>
          <w:sz w:val="20"/>
          <w:szCs w:val="20"/>
        </w:rPr>
        <w:t>8</w:t>
      </w:r>
      <w:r w:rsidRPr="00176873">
        <w:rPr>
          <w:rFonts w:asciiTheme="minorBidi" w:hAnsiTheme="minorBidi"/>
          <w:noProof/>
          <w:sz w:val="20"/>
          <w:szCs w:val="20"/>
        </w:rPr>
        <w:t>(1), 1–9.</w:t>
      </w:r>
    </w:p>
    <w:p w:rsidR="00F75641" w:rsidRPr="00176873" w:rsidRDefault="00783253" w:rsidP="0069466A">
      <w:pPr>
        <w:autoSpaceDE w:val="0"/>
        <w:autoSpaceDN w:val="0"/>
        <w:adjustRightInd w:val="0"/>
        <w:spacing w:after="0" w:line="240" w:lineRule="auto"/>
        <w:ind w:left="567" w:hanging="567"/>
        <w:jc w:val="both"/>
        <w:rPr>
          <w:rFonts w:asciiTheme="minorBidi" w:eastAsia="TimesNewRomanPSMT" w:hAnsiTheme="minorBidi"/>
          <w:color w:val="231F20"/>
          <w:sz w:val="20"/>
          <w:szCs w:val="20"/>
        </w:rPr>
      </w:pPr>
      <w:proofErr w:type="gramStart"/>
      <w:r w:rsidRPr="00176873">
        <w:rPr>
          <w:rFonts w:asciiTheme="minorBidi" w:eastAsia="TimesNewRomanPSMT" w:hAnsiTheme="minorBidi"/>
          <w:color w:val="231F20"/>
          <w:sz w:val="20"/>
          <w:szCs w:val="20"/>
        </w:rPr>
        <w:t>Badan standardisasi Nasional.</w:t>
      </w:r>
      <w:proofErr w:type="gramEnd"/>
      <w:r w:rsidRPr="00176873">
        <w:rPr>
          <w:rFonts w:asciiTheme="minorBidi" w:eastAsia="TimesNewRomanPSMT" w:hAnsiTheme="minorBidi"/>
          <w:color w:val="231F20"/>
          <w:sz w:val="20"/>
          <w:szCs w:val="20"/>
        </w:rPr>
        <w:t xml:space="preserve"> (2005). Cara Uji Kadar Magnesium (Mg) dengan Spektrofotometer Serapan Atom (SSA), SNI 06-6989.55-2005</w:t>
      </w:r>
    </w:p>
    <w:p w:rsidR="00783253" w:rsidRPr="00176873" w:rsidRDefault="00783253" w:rsidP="00783253">
      <w:pPr>
        <w:autoSpaceDE w:val="0"/>
        <w:autoSpaceDN w:val="0"/>
        <w:adjustRightInd w:val="0"/>
        <w:spacing w:after="0" w:line="240" w:lineRule="auto"/>
        <w:ind w:left="567" w:hanging="567"/>
        <w:jc w:val="both"/>
        <w:rPr>
          <w:rFonts w:asciiTheme="minorBidi" w:eastAsia="TimesNewRomanPSMT" w:hAnsiTheme="minorBidi"/>
          <w:color w:val="231F20"/>
          <w:sz w:val="20"/>
          <w:szCs w:val="20"/>
        </w:rPr>
      </w:pPr>
    </w:p>
    <w:p w:rsidR="00624214" w:rsidRPr="00624214" w:rsidRDefault="00F75641" w:rsidP="00624214">
      <w:pPr>
        <w:widowControl w:val="0"/>
        <w:autoSpaceDE w:val="0"/>
        <w:autoSpaceDN w:val="0"/>
        <w:adjustRightInd w:val="0"/>
        <w:spacing w:line="240" w:lineRule="auto"/>
        <w:ind w:left="480" w:hanging="480"/>
        <w:rPr>
          <w:rFonts w:ascii="Arial" w:hAnsi="Arial" w:cs="Arial"/>
          <w:noProof/>
          <w:sz w:val="20"/>
          <w:szCs w:val="24"/>
        </w:rPr>
      </w:pPr>
      <w:r w:rsidRPr="00176873">
        <w:rPr>
          <w:rFonts w:asciiTheme="minorBidi" w:hAnsiTheme="minorBidi"/>
          <w:b/>
          <w:bCs/>
          <w:sz w:val="20"/>
          <w:szCs w:val="20"/>
        </w:rPr>
        <w:fldChar w:fldCharType="begin" w:fldLock="1"/>
      </w:r>
      <w:r w:rsidRPr="00176873">
        <w:rPr>
          <w:rFonts w:asciiTheme="minorBidi" w:hAnsiTheme="minorBidi"/>
          <w:b/>
          <w:bCs/>
          <w:sz w:val="20"/>
          <w:szCs w:val="20"/>
        </w:rPr>
        <w:instrText xml:space="preserve">ADDIN Mendeley Bibliography CSL_BIBLIOGRAPHY </w:instrText>
      </w:r>
      <w:r w:rsidRPr="00176873">
        <w:rPr>
          <w:rFonts w:asciiTheme="minorBidi" w:hAnsiTheme="minorBidi"/>
          <w:b/>
          <w:bCs/>
          <w:sz w:val="20"/>
          <w:szCs w:val="20"/>
        </w:rPr>
        <w:fldChar w:fldCharType="separate"/>
      </w:r>
      <w:r w:rsidR="00624214" w:rsidRPr="00624214">
        <w:rPr>
          <w:rFonts w:ascii="Arial" w:hAnsi="Arial" w:cs="Arial"/>
          <w:noProof/>
          <w:sz w:val="20"/>
          <w:szCs w:val="24"/>
        </w:rPr>
        <w:t xml:space="preserve">Efendy, M. (2012). Garam Rakyat Potensi dan Permasalahan. </w:t>
      </w:r>
      <w:r w:rsidR="00624214" w:rsidRPr="00624214">
        <w:rPr>
          <w:rFonts w:ascii="Arial" w:hAnsi="Arial" w:cs="Arial"/>
          <w:i/>
          <w:iCs/>
          <w:noProof/>
          <w:sz w:val="20"/>
          <w:szCs w:val="24"/>
        </w:rPr>
        <w:t>UTM Press</w:t>
      </w:r>
      <w:r w:rsidR="00624214" w:rsidRPr="00624214">
        <w:rPr>
          <w:rFonts w:ascii="Arial" w:hAnsi="Arial" w:cs="Arial"/>
          <w:noProof/>
          <w:sz w:val="20"/>
          <w:szCs w:val="24"/>
        </w:rPr>
        <w:t>, 1–190.</w:t>
      </w:r>
    </w:p>
    <w:p w:rsidR="00624214" w:rsidRDefault="00624214" w:rsidP="00624214">
      <w:pPr>
        <w:widowControl w:val="0"/>
        <w:autoSpaceDE w:val="0"/>
        <w:autoSpaceDN w:val="0"/>
        <w:adjustRightInd w:val="0"/>
        <w:spacing w:line="240" w:lineRule="auto"/>
        <w:ind w:left="480" w:hanging="480"/>
        <w:rPr>
          <w:rFonts w:ascii="Arial" w:hAnsi="Arial" w:cs="Arial"/>
          <w:noProof/>
          <w:sz w:val="20"/>
          <w:szCs w:val="24"/>
        </w:rPr>
      </w:pPr>
      <w:r w:rsidRPr="00624214">
        <w:rPr>
          <w:rFonts w:ascii="Arial" w:hAnsi="Arial" w:cs="Arial"/>
          <w:noProof/>
          <w:sz w:val="20"/>
          <w:szCs w:val="24"/>
        </w:rPr>
        <w:t xml:space="preserve">EfendyR, M., Sidik, R. F., &amp; Muhsoni, F. F. (2014). Pemetaan Potensi Pengembangan Lahan Tambak Garam Di Pesisir Utara Kabupaten Pamekasan. </w:t>
      </w:r>
      <w:r w:rsidRPr="00624214">
        <w:rPr>
          <w:rFonts w:ascii="Arial" w:hAnsi="Arial" w:cs="Arial"/>
          <w:i/>
          <w:iCs/>
          <w:noProof/>
          <w:sz w:val="20"/>
          <w:szCs w:val="24"/>
        </w:rPr>
        <w:t>Jurnal Kelautan</w:t>
      </w:r>
      <w:r w:rsidRPr="00624214">
        <w:rPr>
          <w:rFonts w:ascii="Arial" w:hAnsi="Arial" w:cs="Arial"/>
          <w:noProof/>
          <w:sz w:val="20"/>
          <w:szCs w:val="24"/>
        </w:rPr>
        <w:t xml:space="preserve">, </w:t>
      </w:r>
      <w:r w:rsidRPr="00624214">
        <w:rPr>
          <w:rFonts w:ascii="Arial" w:hAnsi="Arial" w:cs="Arial"/>
          <w:i/>
          <w:iCs/>
          <w:noProof/>
          <w:sz w:val="20"/>
          <w:szCs w:val="24"/>
        </w:rPr>
        <w:t>7</w:t>
      </w:r>
      <w:r w:rsidRPr="00624214">
        <w:rPr>
          <w:rFonts w:ascii="Arial" w:hAnsi="Arial" w:cs="Arial"/>
          <w:noProof/>
          <w:sz w:val="20"/>
          <w:szCs w:val="24"/>
        </w:rPr>
        <w:t>(1), 1–11.</w:t>
      </w:r>
    </w:p>
    <w:p w:rsidR="00624214" w:rsidRPr="00624214" w:rsidRDefault="00624214" w:rsidP="00624214">
      <w:pPr>
        <w:widowControl w:val="0"/>
        <w:autoSpaceDE w:val="0"/>
        <w:autoSpaceDN w:val="0"/>
        <w:adjustRightInd w:val="0"/>
        <w:spacing w:line="240" w:lineRule="auto"/>
        <w:ind w:left="480" w:hanging="480"/>
        <w:rPr>
          <w:rFonts w:ascii="Arial" w:hAnsi="Arial" w:cs="Arial"/>
          <w:noProof/>
          <w:sz w:val="20"/>
          <w:szCs w:val="24"/>
        </w:rPr>
      </w:pPr>
    </w:p>
    <w:p w:rsidR="00624214" w:rsidRPr="00624214" w:rsidRDefault="00624214" w:rsidP="00624214">
      <w:pPr>
        <w:widowControl w:val="0"/>
        <w:autoSpaceDE w:val="0"/>
        <w:autoSpaceDN w:val="0"/>
        <w:adjustRightInd w:val="0"/>
        <w:spacing w:line="240" w:lineRule="auto"/>
        <w:ind w:left="480" w:hanging="480"/>
        <w:rPr>
          <w:rFonts w:ascii="Arial" w:hAnsi="Arial" w:cs="Arial"/>
          <w:noProof/>
          <w:sz w:val="20"/>
        </w:rPr>
      </w:pPr>
      <w:r w:rsidRPr="00624214">
        <w:rPr>
          <w:rFonts w:ascii="Arial" w:hAnsi="Arial" w:cs="Arial"/>
          <w:noProof/>
          <w:sz w:val="20"/>
          <w:szCs w:val="24"/>
        </w:rPr>
        <w:t xml:space="preserve">Kim, H., Jeon, Y., Lee, W. B., Nam, S. H., Han, S. H., Ham, K. S., Singh, V. K., &amp; Lee, Y. (2019). Feasibility of Quantitative Analysis of Magnesium and Calcium in Edible Salts Using a Simple Laser-Induced Breakdown Spectroscopy Device. </w:t>
      </w:r>
      <w:r w:rsidRPr="00624214">
        <w:rPr>
          <w:rFonts w:ascii="Arial" w:hAnsi="Arial" w:cs="Arial"/>
          <w:i/>
          <w:iCs/>
          <w:noProof/>
          <w:sz w:val="20"/>
          <w:szCs w:val="24"/>
        </w:rPr>
        <w:t>Applied Spectroscopy</w:t>
      </w:r>
      <w:r w:rsidRPr="00624214">
        <w:rPr>
          <w:rFonts w:ascii="Arial" w:hAnsi="Arial" w:cs="Arial"/>
          <w:noProof/>
          <w:sz w:val="20"/>
          <w:szCs w:val="24"/>
        </w:rPr>
        <w:t xml:space="preserve">, </w:t>
      </w:r>
      <w:r w:rsidRPr="00624214">
        <w:rPr>
          <w:rFonts w:ascii="Arial" w:hAnsi="Arial" w:cs="Arial"/>
          <w:i/>
          <w:iCs/>
          <w:noProof/>
          <w:sz w:val="20"/>
          <w:szCs w:val="24"/>
        </w:rPr>
        <w:t>73</w:t>
      </w:r>
      <w:r w:rsidRPr="00624214">
        <w:rPr>
          <w:rFonts w:ascii="Arial" w:hAnsi="Arial" w:cs="Arial"/>
          <w:noProof/>
          <w:sz w:val="20"/>
          <w:szCs w:val="24"/>
        </w:rPr>
        <w:t>(10), 1172–1182. https://doi.org/10.1177/0003702819861552</w:t>
      </w:r>
    </w:p>
    <w:p w:rsidR="00783253" w:rsidRPr="00176873" w:rsidRDefault="00F75641" w:rsidP="00624214">
      <w:pPr>
        <w:widowControl w:val="0"/>
        <w:autoSpaceDE w:val="0"/>
        <w:autoSpaceDN w:val="0"/>
        <w:adjustRightInd w:val="0"/>
        <w:spacing w:line="240" w:lineRule="auto"/>
        <w:ind w:left="480" w:hanging="480"/>
        <w:rPr>
          <w:rFonts w:asciiTheme="minorBidi" w:eastAsia="TimesNewRomanPSMT" w:hAnsiTheme="minorBidi"/>
          <w:color w:val="231F20"/>
          <w:sz w:val="20"/>
          <w:szCs w:val="20"/>
        </w:rPr>
      </w:pPr>
      <w:r w:rsidRPr="00176873">
        <w:rPr>
          <w:rFonts w:asciiTheme="minorBidi" w:hAnsiTheme="minorBidi"/>
          <w:b/>
          <w:bCs/>
          <w:sz w:val="20"/>
          <w:szCs w:val="20"/>
        </w:rPr>
        <w:fldChar w:fldCharType="end"/>
      </w:r>
    </w:p>
    <w:p w:rsidR="00783253" w:rsidRPr="00176873" w:rsidRDefault="00783253" w:rsidP="00624214">
      <w:pPr>
        <w:autoSpaceDE w:val="0"/>
        <w:autoSpaceDN w:val="0"/>
        <w:adjustRightInd w:val="0"/>
        <w:spacing w:after="0" w:line="240" w:lineRule="auto"/>
        <w:jc w:val="both"/>
        <w:rPr>
          <w:rFonts w:asciiTheme="minorBidi" w:eastAsia="TimesNewRomanPSMT" w:hAnsiTheme="minorBidi"/>
          <w:color w:val="231F20"/>
          <w:sz w:val="20"/>
          <w:szCs w:val="20"/>
        </w:rPr>
      </w:pPr>
    </w:p>
    <w:p w:rsidR="00783253" w:rsidRDefault="00783253" w:rsidP="00783253">
      <w:pPr>
        <w:widowControl w:val="0"/>
        <w:autoSpaceDE w:val="0"/>
        <w:autoSpaceDN w:val="0"/>
        <w:adjustRightInd w:val="0"/>
        <w:spacing w:line="240" w:lineRule="auto"/>
        <w:ind w:left="480" w:hanging="480"/>
        <w:rPr>
          <w:rFonts w:asciiTheme="minorBidi" w:hAnsiTheme="minorBidi"/>
          <w:noProof/>
          <w:sz w:val="20"/>
          <w:szCs w:val="20"/>
        </w:rPr>
      </w:pPr>
      <w:r w:rsidRPr="00176873">
        <w:rPr>
          <w:rFonts w:asciiTheme="minorBidi" w:hAnsiTheme="minorBidi"/>
          <w:noProof/>
          <w:sz w:val="20"/>
          <w:szCs w:val="20"/>
        </w:rPr>
        <w:t xml:space="preserve">Kim, H., Jeon, Y., Lee, W. B., Nam, S. H., Han, S. H., Ham, K. S., Singh, V. K., &amp; Lee, Y. (2019). Feasibility of Quantitative Analysis of Magnesium and Calcium in Edible Salts Using a Simple Laser-Induced Breakdown Spectroscopy Device. </w:t>
      </w:r>
      <w:r w:rsidRPr="00176873">
        <w:rPr>
          <w:rFonts w:asciiTheme="minorBidi" w:hAnsiTheme="minorBidi"/>
          <w:i/>
          <w:iCs/>
          <w:noProof/>
          <w:sz w:val="20"/>
          <w:szCs w:val="20"/>
        </w:rPr>
        <w:t>Applied Spectroscopy</w:t>
      </w:r>
      <w:r w:rsidRPr="00176873">
        <w:rPr>
          <w:rFonts w:asciiTheme="minorBidi" w:hAnsiTheme="minorBidi"/>
          <w:noProof/>
          <w:sz w:val="20"/>
          <w:szCs w:val="20"/>
        </w:rPr>
        <w:t xml:space="preserve">, </w:t>
      </w:r>
      <w:r w:rsidRPr="00176873">
        <w:rPr>
          <w:rFonts w:asciiTheme="minorBidi" w:hAnsiTheme="minorBidi"/>
          <w:i/>
          <w:iCs/>
          <w:noProof/>
          <w:sz w:val="20"/>
          <w:szCs w:val="20"/>
        </w:rPr>
        <w:t>73</w:t>
      </w:r>
      <w:r w:rsidRPr="00176873">
        <w:rPr>
          <w:rFonts w:asciiTheme="minorBidi" w:hAnsiTheme="minorBidi"/>
          <w:noProof/>
          <w:sz w:val="20"/>
          <w:szCs w:val="20"/>
        </w:rPr>
        <w:t xml:space="preserve">(10), 1172–1182. </w:t>
      </w:r>
      <w:hyperlink r:id="rId10" w:history="1">
        <w:r w:rsidR="00176873" w:rsidRPr="008D0112">
          <w:rPr>
            <w:rStyle w:val="Hyperlink"/>
            <w:rFonts w:asciiTheme="minorBidi" w:hAnsiTheme="minorBidi"/>
            <w:noProof/>
            <w:sz w:val="20"/>
            <w:szCs w:val="20"/>
          </w:rPr>
          <w:t>https://doi.org/10.1177/0003702819861552</w:t>
        </w:r>
      </w:hyperlink>
    </w:p>
    <w:p w:rsidR="00176873" w:rsidRDefault="00176873" w:rsidP="00783253">
      <w:pPr>
        <w:widowControl w:val="0"/>
        <w:autoSpaceDE w:val="0"/>
        <w:autoSpaceDN w:val="0"/>
        <w:adjustRightInd w:val="0"/>
        <w:spacing w:line="240" w:lineRule="auto"/>
        <w:ind w:left="480" w:hanging="480"/>
        <w:rPr>
          <w:rFonts w:asciiTheme="minorBidi" w:hAnsiTheme="minorBidi"/>
          <w:noProof/>
          <w:sz w:val="20"/>
          <w:szCs w:val="20"/>
        </w:rPr>
      </w:pPr>
    </w:p>
    <w:p w:rsidR="00624214" w:rsidRPr="00176873" w:rsidRDefault="00624214" w:rsidP="00783253">
      <w:pPr>
        <w:widowControl w:val="0"/>
        <w:autoSpaceDE w:val="0"/>
        <w:autoSpaceDN w:val="0"/>
        <w:adjustRightInd w:val="0"/>
        <w:spacing w:line="240" w:lineRule="auto"/>
        <w:ind w:left="480" w:hanging="480"/>
        <w:rPr>
          <w:rFonts w:asciiTheme="minorBidi" w:hAnsiTheme="minorBidi"/>
          <w:noProof/>
          <w:sz w:val="20"/>
          <w:szCs w:val="20"/>
        </w:rPr>
      </w:pPr>
    </w:p>
    <w:p w:rsidR="00D42258" w:rsidRPr="00176873" w:rsidRDefault="00D42258" w:rsidP="00D42258">
      <w:pPr>
        <w:widowControl w:val="0"/>
        <w:autoSpaceDE w:val="0"/>
        <w:autoSpaceDN w:val="0"/>
        <w:adjustRightInd w:val="0"/>
        <w:spacing w:line="360" w:lineRule="auto"/>
        <w:ind w:left="480" w:hanging="480"/>
        <w:jc w:val="both"/>
        <w:rPr>
          <w:rFonts w:asciiTheme="minorBidi" w:hAnsiTheme="minorBidi"/>
          <w:noProof/>
          <w:sz w:val="20"/>
          <w:szCs w:val="20"/>
        </w:rPr>
      </w:pPr>
      <w:r w:rsidRPr="00176873">
        <w:rPr>
          <w:rFonts w:asciiTheme="minorBidi" w:hAnsiTheme="minorBidi"/>
          <w:noProof/>
          <w:sz w:val="20"/>
          <w:szCs w:val="20"/>
        </w:rPr>
        <w:t xml:space="preserve">Kumala, A. R., &amp; Sugiarto, Y. (2012). Analisis Pengaruh Curah Hujan terhadap Produktivitas Garam Studi Kasus: Pegaraman I Sumenep PT. Garam (Persero). </w:t>
      </w:r>
      <w:r w:rsidRPr="00176873">
        <w:rPr>
          <w:rFonts w:asciiTheme="minorBidi" w:hAnsiTheme="minorBidi"/>
          <w:i/>
          <w:iCs/>
          <w:noProof/>
          <w:sz w:val="20"/>
          <w:szCs w:val="20"/>
        </w:rPr>
        <w:t>Prosiding Seminar Nasional Sains IV</w:t>
      </w:r>
      <w:r w:rsidRPr="00176873">
        <w:rPr>
          <w:rFonts w:asciiTheme="minorBidi" w:hAnsiTheme="minorBidi"/>
          <w:noProof/>
          <w:sz w:val="20"/>
          <w:szCs w:val="20"/>
        </w:rPr>
        <w:t xml:space="preserve">, </w:t>
      </w:r>
      <w:r w:rsidRPr="00176873">
        <w:rPr>
          <w:rFonts w:asciiTheme="minorBidi" w:hAnsiTheme="minorBidi"/>
          <w:i/>
          <w:iCs/>
          <w:noProof/>
          <w:sz w:val="20"/>
          <w:szCs w:val="20"/>
        </w:rPr>
        <w:t>10</w:t>
      </w:r>
      <w:r w:rsidRPr="00176873">
        <w:rPr>
          <w:rFonts w:asciiTheme="minorBidi" w:hAnsiTheme="minorBidi"/>
          <w:noProof/>
          <w:sz w:val="20"/>
          <w:szCs w:val="20"/>
        </w:rPr>
        <w:t>(November), 1–10. http://www.bom.gov.au/climate</w:t>
      </w:r>
    </w:p>
    <w:p w:rsidR="00D42258" w:rsidRPr="00176873" w:rsidRDefault="00D42258" w:rsidP="00D42258">
      <w:pPr>
        <w:ind w:left="567" w:hanging="567"/>
        <w:jc w:val="both"/>
        <w:rPr>
          <w:rFonts w:asciiTheme="minorBidi" w:eastAsia="TimesNewRomanPSMT" w:hAnsiTheme="minorBidi"/>
          <w:sz w:val="20"/>
          <w:szCs w:val="20"/>
        </w:rPr>
      </w:pPr>
      <w:proofErr w:type="gramStart"/>
      <w:r w:rsidRPr="00176873">
        <w:rPr>
          <w:rFonts w:asciiTheme="minorBidi" w:eastAsia="TimesNewRomanPSMT" w:hAnsiTheme="minorBidi"/>
          <w:sz w:val="20"/>
          <w:szCs w:val="20"/>
        </w:rPr>
        <w:t>Nadjib, M. 2007.Analisis Spatial Produktivitas Garam di Pulau Jawa dan Madura.</w:t>
      </w:r>
      <w:proofErr w:type="gramEnd"/>
      <w:r w:rsidRPr="00176873">
        <w:rPr>
          <w:rFonts w:asciiTheme="minorBidi" w:eastAsia="TimesNewRomanPSMT" w:hAnsiTheme="minorBidi"/>
          <w:sz w:val="20"/>
          <w:szCs w:val="20"/>
        </w:rPr>
        <w:t xml:space="preserve"> </w:t>
      </w:r>
      <w:r w:rsidRPr="00176873">
        <w:rPr>
          <w:rFonts w:asciiTheme="minorBidi" w:eastAsia="TimesNewRomanPSMT" w:hAnsiTheme="minorBidi"/>
          <w:i/>
          <w:iCs/>
          <w:sz w:val="20"/>
          <w:szCs w:val="20"/>
        </w:rPr>
        <w:t xml:space="preserve">Jurnal Sumberdaya </w:t>
      </w:r>
      <w:proofErr w:type="gramStart"/>
      <w:r w:rsidRPr="00176873">
        <w:rPr>
          <w:rFonts w:asciiTheme="minorBidi" w:eastAsia="TimesNewRomanPSMT" w:hAnsiTheme="minorBidi"/>
          <w:i/>
          <w:iCs/>
          <w:sz w:val="20"/>
          <w:szCs w:val="20"/>
        </w:rPr>
        <w:t>Perairan</w:t>
      </w:r>
      <w:r w:rsidRPr="00176873">
        <w:rPr>
          <w:rFonts w:asciiTheme="minorBidi" w:eastAsia="TimesNewRomanPSMT" w:hAnsiTheme="minorBidi"/>
          <w:sz w:val="20"/>
          <w:szCs w:val="20"/>
        </w:rPr>
        <w:t>.II(</w:t>
      </w:r>
      <w:proofErr w:type="gramEnd"/>
      <w:r w:rsidRPr="00176873">
        <w:rPr>
          <w:rFonts w:asciiTheme="minorBidi" w:eastAsia="TimesNewRomanPSMT" w:hAnsiTheme="minorBidi"/>
          <w:sz w:val="20"/>
          <w:szCs w:val="20"/>
        </w:rPr>
        <w:t>1):1-7</w:t>
      </w:r>
    </w:p>
    <w:p w:rsidR="00D42258" w:rsidRPr="00176873" w:rsidRDefault="00D42258" w:rsidP="00D42258">
      <w:pPr>
        <w:widowControl w:val="0"/>
        <w:autoSpaceDE w:val="0"/>
        <w:autoSpaceDN w:val="0"/>
        <w:adjustRightInd w:val="0"/>
        <w:spacing w:line="360" w:lineRule="auto"/>
        <w:ind w:left="480" w:hanging="480"/>
        <w:jc w:val="both"/>
        <w:rPr>
          <w:rFonts w:asciiTheme="minorBidi" w:hAnsiTheme="minorBidi"/>
          <w:noProof/>
          <w:sz w:val="20"/>
          <w:szCs w:val="20"/>
        </w:rPr>
      </w:pPr>
      <w:r w:rsidRPr="00176873">
        <w:rPr>
          <w:rFonts w:asciiTheme="minorBidi" w:hAnsiTheme="minorBidi"/>
          <w:noProof/>
          <w:sz w:val="20"/>
          <w:szCs w:val="20"/>
        </w:rPr>
        <w:t xml:space="preserve">Rositawati, A. ., Taslim, C. ., &amp; Soetrisnanto, D. (2013). Rekristalisasi Garam Rakyat Dari Daerah Demak Untuk Mencapai SNI Garam Industri. </w:t>
      </w:r>
      <w:r w:rsidRPr="00176873">
        <w:rPr>
          <w:rFonts w:asciiTheme="minorBidi" w:hAnsiTheme="minorBidi"/>
          <w:i/>
          <w:iCs/>
          <w:noProof/>
          <w:sz w:val="20"/>
          <w:szCs w:val="20"/>
        </w:rPr>
        <w:t>Jurnal Teknologi Kimia Dan Industri</w:t>
      </w:r>
      <w:r w:rsidRPr="00176873">
        <w:rPr>
          <w:rFonts w:asciiTheme="minorBidi" w:hAnsiTheme="minorBidi"/>
          <w:noProof/>
          <w:sz w:val="20"/>
          <w:szCs w:val="20"/>
        </w:rPr>
        <w:t xml:space="preserve">, </w:t>
      </w:r>
      <w:r w:rsidRPr="00176873">
        <w:rPr>
          <w:rFonts w:asciiTheme="minorBidi" w:hAnsiTheme="minorBidi"/>
          <w:i/>
          <w:iCs/>
          <w:noProof/>
          <w:sz w:val="20"/>
          <w:szCs w:val="20"/>
        </w:rPr>
        <w:t>2</w:t>
      </w:r>
      <w:r w:rsidRPr="00176873">
        <w:rPr>
          <w:rFonts w:asciiTheme="minorBidi" w:hAnsiTheme="minorBidi"/>
          <w:noProof/>
          <w:sz w:val="20"/>
          <w:szCs w:val="20"/>
        </w:rPr>
        <w:t>(4), 217–225.</w:t>
      </w:r>
    </w:p>
    <w:p w:rsidR="0069466A" w:rsidRPr="00176873" w:rsidRDefault="00D42258" w:rsidP="00F75641">
      <w:pPr>
        <w:autoSpaceDE w:val="0"/>
        <w:autoSpaceDN w:val="0"/>
        <w:adjustRightInd w:val="0"/>
        <w:spacing w:after="0" w:line="240" w:lineRule="auto"/>
        <w:ind w:left="567" w:hanging="567"/>
        <w:jc w:val="both"/>
        <w:rPr>
          <w:rFonts w:asciiTheme="minorBidi" w:eastAsia="TimesNewRomanPSMT" w:hAnsiTheme="minorBidi"/>
          <w:color w:val="231F20"/>
          <w:sz w:val="20"/>
          <w:szCs w:val="20"/>
        </w:rPr>
      </w:pPr>
      <w:proofErr w:type="gramStart"/>
      <w:r w:rsidRPr="00176873">
        <w:rPr>
          <w:rFonts w:asciiTheme="minorBidi" w:eastAsia="TimesNewRomanPSMT" w:hAnsiTheme="minorBidi"/>
          <w:color w:val="231F20"/>
          <w:sz w:val="20"/>
          <w:szCs w:val="20"/>
        </w:rPr>
        <w:t>Rusiyanto.,</w:t>
      </w:r>
      <w:proofErr w:type="gramEnd"/>
      <w:r w:rsidRPr="00176873">
        <w:rPr>
          <w:rFonts w:asciiTheme="minorBidi" w:eastAsia="TimesNewRomanPSMT" w:hAnsiTheme="minorBidi"/>
          <w:color w:val="231F20"/>
          <w:sz w:val="20"/>
          <w:szCs w:val="20"/>
        </w:rPr>
        <w:t xml:space="preserve"> Soesilowati, E., dan Jumaeri. 2013. Penguatan </w:t>
      </w:r>
      <w:bookmarkStart w:id="0" w:name="_GoBack"/>
      <w:r w:rsidRPr="00176873">
        <w:rPr>
          <w:rFonts w:asciiTheme="minorBidi" w:eastAsia="TimesNewRomanPSMT" w:hAnsiTheme="minorBidi"/>
          <w:color w:val="231F20"/>
          <w:sz w:val="20"/>
          <w:szCs w:val="20"/>
        </w:rPr>
        <w:t>industri garam nasional melalui perbaikan teknologi budidaya dan diversifikasi produk.</w:t>
      </w:r>
      <w:r w:rsidRPr="00176873">
        <w:rPr>
          <w:rFonts w:asciiTheme="minorBidi" w:eastAsia="TimesNewRomanPSMT" w:hAnsiTheme="minorBidi"/>
          <w:i/>
          <w:iCs/>
          <w:color w:val="231F20"/>
          <w:sz w:val="20"/>
          <w:szCs w:val="20"/>
        </w:rPr>
        <w:t>Jurnal Sains dan Teknologi</w:t>
      </w:r>
      <w:r w:rsidRPr="00176873">
        <w:rPr>
          <w:rFonts w:asciiTheme="minorBidi" w:eastAsia="TimesNewRomanPSMT" w:hAnsiTheme="minorBidi"/>
          <w:color w:val="231F20"/>
          <w:sz w:val="20"/>
          <w:szCs w:val="20"/>
        </w:rPr>
        <w:t>. XI (2): 129-142</w:t>
      </w:r>
    </w:p>
    <w:p w:rsidR="0069466A" w:rsidRPr="00176873" w:rsidRDefault="0069466A" w:rsidP="00F75641">
      <w:pPr>
        <w:autoSpaceDE w:val="0"/>
        <w:autoSpaceDN w:val="0"/>
        <w:adjustRightInd w:val="0"/>
        <w:spacing w:after="0" w:line="240" w:lineRule="auto"/>
        <w:ind w:left="567" w:hanging="567"/>
        <w:jc w:val="both"/>
        <w:rPr>
          <w:rFonts w:asciiTheme="minorBidi" w:eastAsia="TimesNewRomanPSMT" w:hAnsiTheme="minorBidi"/>
          <w:color w:val="231F20"/>
          <w:sz w:val="20"/>
          <w:szCs w:val="20"/>
        </w:rPr>
      </w:pPr>
    </w:p>
    <w:p w:rsidR="00624214" w:rsidRPr="00624214" w:rsidRDefault="00F75641" w:rsidP="00624214">
      <w:pPr>
        <w:widowControl w:val="0"/>
        <w:autoSpaceDE w:val="0"/>
        <w:autoSpaceDN w:val="0"/>
        <w:adjustRightInd w:val="0"/>
        <w:spacing w:after="0" w:line="240" w:lineRule="auto"/>
        <w:ind w:left="480" w:hanging="480"/>
        <w:rPr>
          <w:rFonts w:ascii="Arial" w:hAnsi="Arial" w:cs="Arial"/>
          <w:noProof/>
          <w:sz w:val="20"/>
          <w:szCs w:val="24"/>
        </w:rPr>
      </w:pPr>
      <w:r w:rsidRPr="00176873">
        <w:rPr>
          <w:rFonts w:asciiTheme="minorBidi" w:hAnsiTheme="minorBidi"/>
          <w:b/>
          <w:bCs/>
          <w:sz w:val="20"/>
          <w:szCs w:val="20"/>
        </w:rPr>
        <w:fldChar w:fldCharType="begin" w:fldLock="1"/>
      </w:r>
      <w:r w:rsidRPr="00176873">
        <w:rPr>
          <w:rFonts w:asciiTheme="minorBidi" w:hAnsiTheme="minorBidi"/>
          <w:b/>
          <w:bCs/>
          <w:sz w:val="20"/>
          <w:szCs w:val="20"/>
        </w:rPr>
        <w:instrText xml:space="preserve">ADDIN Mendeley Bibliography CSL_BIBLIOGRAPHY </w:instrText>
      </w:r>
      <w:r w:rsidRPr="00176873">
        <w:rPr>
          <w:rFonts w:asciiTheme="minorBidi" w:hAnsiTheme="minorBidi"/>
          <w:b/>
          <w:bCs/>
          <w:sz w:val="20"/>
          <w:szCs w:val="20"/>
        </w:rPr>
        <w:fldChar w:fldCharType="separate"/>
      </w:r>
      <w:r w:rsidR="00624214" w:rsidRPr="00624214">
        <w:rPr>
          <w:rFonts w:ascii="Arial" w:hAnsi="Arial" w:cs="Arial"/>
          <w:noProof/>
          <w:sz w:val="20"/>
          <w:szCs w:val="24"/>
        </w:rPr>
        <w:t xml:space="preserve">Efendy, M. (2012). Garam Rakyat Potensi dan Permasalahan. </w:t>
      </w:r>
      <w:r w:rsidR="00624214" w:rsidRPr="00624214">
        <w:rPr>
          <w:rFonts w:ascii="Arial" w:hAnsi="Arial" w:cs="Arial"/>
          <w:i/>
          <w:iCs/>
          <w:noProof/>
          <w:sz w:val="20"/>
          <w:szCs w:val="24"/>
        </w:rPr>
        <w:t>UTM Press</w:t>
      </w:r>
      <w:r w:rsidR="00624214" w:rsidRPr="00624214">
        <w:rPr>
          <w:rFonts w:ascii="Arial" w:hAnsi="Arial" w:cs="Arial"/>
          <w:noProof/>
          <w:sz w:val="20"/>
          <w:szCs w:val="24"/>
        </w:rPr>
        <w:t>, 1–190.</w:t>
      </w:r>
    </w:p>
    <w:p w:rsidR="00624214" w:rsidRPr="00624214" w:rsidRDefault="00624214" w:rsidP="00624214">
      <w:pPr>
        <w:widowControl w:val="0"/>
        <w:autoSpaceDE w:val="0"/>
        <w:autoSpaceDN w:val="0"/>
        <w:adjustRightInd w:val="0"/>
        <w:spacing w:after="0" w:line="240" w:lineRule="auto"/>
        <w:ind w:left="480" w:hanging="480"/>
        <w:rPr>
          <w:rFonts w:ascii="Arial" w:hAnsi="Arial" w:cs="Arial"/>
          <w:noProof/>
          <w:sz w:val="20"/>
          <w:szCs w:val="24"/>
        </w:rPr>
      </w:pPr>
      <w:r w:rsidRPr="00624214">
        <w:rPr>
          <w:rFonts w:ascii="Arial" w:hAnsi="Arial" w:cs="Arial"/>
          <w:noProof/>
          <w:sz w:val="20"/>
          <w:szCs w:val="24"/>
        </w:rPr>
        <w:t xml:space="preserve">EfendyR, M., Sidik, R. F., &amp; Muhsoni, F. F. (2014). Pemetaan Potensi Pengembangan Lahan Tambak Garam Di Pesisir Utara Kabupaten Pamekasan. </w:t>
      </w:r>
      <w:r w:rsidRPr="00624214">
        <w:rPr>
          <w:rFonts w:ascii="Arial" w:hAnsi="Arial" w:cs="Arial"/>
          <w:i/>
          <w:iCs/>
          <w:noProof/>
          <w:sz w:val="20"/>
          <w:szCs w:val="24"/>
        </w:rPr>
        <w:t>Jurnal Kelautan</w:t>
      </w:r>
      <w:r w:rsidRPr="00624214">
        <w:rPr>
          <w:rFonts w:ascii="Arial" w:hAnsi="Arial" w:cs="Arial"/>
          <w:noProof/>
          <w:sz w:val="20"/>
          <w:szCs w:val="24"/>
        </w:rPr>
        <w:t xml:space="preserve">, </w:t>
      </w:r>
      <w:r w:rsidRPr="00624214">
        <w:rPr>
          <w:rFonts w:ascii="Arial" w:hAnsi="Arial" w:cs="Arial"/>
          <w:i/>
          <w:iCs/>
          <w:noProof/>
          <w:sz w:val="20"/>
          <w:szCs w:val="24"/>
        </w:rPr>
        <w:t>7</w:t>
      </w:r>
      <w:r w:rsidRPr="00624214">
        <w:rPr>
          <w:rFonts w:ascii="Arial" w:hAnsi="Arial" w:cs="Arial"/>
          <w:noProof/>
          <w:sz w:val="20"/>
          <w:szCs w:val="24"/>
        </w:rPr>
        <w:t>(1), 1–11.</w:t>
      </w:r>
    </w:p>
    <w:p w:rsidR="00624214" w:rsidRPr="00624214" w:rsidRDefault="00624214" w:rsidP="00624214">
      <w:pPr>
        <w:widowControl w:val="0"/>
        <w:autoSpaceDE w:val="0"/>
        <w:autoSpaceDN w:val="0"/>
        <w:adjustRightInd w:val="0"/>
        <w:spacing w:after="0" w:line="240" w:lineRule="auto"/>
        <w:ind w:left="480" w:hanging="480"/>
        <w:rPr>
          <w:rFonts w:ascii="Arial" w:hAnsi="Arial" w:cs="Arial"/>
          <w:noProof/>
          <w:sz w:val="20"/>
        </w:rPr>
      </w:pPr>
      <w:r w:rsidRPr="00624214">
        <w:rPr>
          <w:rFonts w:ascii="Arial" w:hAnsi="Arial" w:cs="Arial"/>
          <w:noProof/>
          <w:sz w:val="20"/>
          <w:szCs w:val="24"/>
        </w:rPr>
        <w:t xml:space="preserve">Kim, H., Jeon, Y., Lee, W. B., Nam, S. H., Han, S. H., Ham, K. S., Singh, V. K., &amp; Lee, Y. (2019). Feasibility of Quantitative Analysis of Magnesium and Calcium in Edible Salts Using a Simple Laser-Induced Breakdown Spectroscopy Device. </w:t>
      </w:r>
      <w:r w:rsidRPr="00624214">
        <w:rPr>
          <w:rFonts w:ascii="Arial" w:hAnsi="Arial" w:cs="Arial"/>
          <w:i/>
          <w:iCs/>
          <w:noProof/>
          <w:sz w:val="20"/>
          <w:szCs w:val="24"/>
        </w:rPr>
        <w:t>Applied Spectroscopy</w:t>
      </w:r>
      <w:r w:rsidRPr="00624214">
        <w:rPr>
          <w:rFonts w:ascii="Arial" w:hAnsi="Arial" w:cs="Arial"/>
          <w:noProof/>
          <w:sz w:val="20"/>
          <w:szCs w:val="24"/>
        </w:rPr>
        <w:t xml:space="preserve">, </w:t>
      </w:r>
      <w:r w:rsidRPr="00624214">
        <w:rPr>
          <w:rFonts w:ascii="Arial" w:hAnsi="Arial" w:cs="Arial"/>
          <w:i/>
          <w:iCs/>
          <w:noProof/>
          <w:sz w:val="20"/>
          <w:szCs w:val="24"/>
        </w:rPr>
        <w:t>73</w:t>
      </w:r>
      <w:r w:rsidRPr="00624214">
        <w:rPr>
          <w:rFonts w:ascii="Arial" w:hAnsi="Arial" w:cs="Arial"/>
          <w:noProof/>
          <w:sz w:val="20"/>
          <w:szCs w:val="24"/>
        </w:rPr>
        <w:t>(10), 1172–1182. https://doi.org/10.1177/0003702819861552</w:t>
      </w:r>
    </w:p>
    <w:p w:rsidR="00F75641" w:rsidRPr="00176873" w:rsidRDefault="00F75641" w:rsidP="00624214">
      <w:pPr>
        <w:autoSpaceDE w:val="0"/>
        <w:autoSpaceDN w:val="0"/>
        <w:adjustRightInd w:val="0"/>
        <w:spacing w:after="0" w:line="240" w:lineRule="auto"/>
        <w:ind w:left="567" w:hanging="567"/>
        <w:jc w:val="both"/>
        <w:rPr>
          <w:rFonts w:asciiTheme="minorBidi" w:hAnsiTheme="minorBidi"/>
          <w:b/>
          <w:bCs/>
          <w:sz w:val="20"/>
          <w:szCs w:val="20"/>
        </w:rPr>
      </w:pPr>
      <w:r w:rsidRPr="00176873">
        <w:rPr>
          <w:rFonts w:asciiTheme="minorBidi" w:hAnsiTheme="minorBidi"/>
          <w:b/>
          <w:bCs/>
          <w:sz w:val="20"/>
          <w:szCs w:val="20"/>
        </w:rPr>
        <w:fldChar w:fldCharType="end"/>
      </w:r>
      <w:bookmarkEnd w:id="0"/>
    </w:p>
    <w:sectPr w:rsidR="00F75641" w:rsidRPr="00176873" w:rsidSect="003D03AE">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7"/>
    <w:rsid w:val="00000759"/>
    <w:rsid w:val="00010490"/>
    <w:rsid w:val="00126F0C"/>
    <w:rsid w:val="00176873"/>
    <w:rsid w:val="00294BF8"/>
    <w:rsid w:val="002B3A90"/>
    <w:rsid w:val="002C5F76"/>
    <w:rsid w:val="002D674E"/>
    <w:rsid w:val="00365E59"/>
    <w:rsid w:val="003B324A"/>
    <w:rsid w:val="003D03AE"/>
    <w:rsid w:val="003F1013"/>
    <w:rsid w:val="005C44B6"/>
    <w:rsid w:val="00606E53"/>
    <w:rsid w:val="006123DD"/>
    <w:rsid w:val="00624214"/>
    <w:rsid w:val="0069466A"/>
    <w:rsid w:val="00711C78"/>
    <w:rsid w:val="00783253"/>
    <w:rsid w:val="007A6505"/>
    <w:rsid w:val="00854E2F"/>
    <w:rsid w:val="00901389"/>
    <w:rsid w:val="00921CDB"/>
    <w:rsid w:val="00925954"/>
    <w:rsid w:val="009A3DB7"/>
    <w:rsid w:val="00A055DA"/>
    <w:rsid w:val="00A805F8"/>
    <w:rsid w:val="00AD6757"/>
    <w:rsid w:val="00B52767"/>
    <w:rsid w:val="00B55DBA"/>
    <w:rsid w:val="00BF20B3"/>
    <w:rsid w:val="00C741E1"/>
    <w:rsid w:val="00C80C86"/>
    <w:rsid w:val="00CA6C06"/>
    <w:rsid w:val="00CF0BF2"/>
    <w:rsid w:val="00D42258"/>
    <w:rsid w:val="00E70988"/>
    <w:rsid w:val="00F21D02"/>
    <w:rsid w:val="00F64C48"/>
    <w:rsid w:val="00F75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DB7"/>
    <w:rPr>
      <w:color w:val="0000FF" w:themeColor="hyperlink"/>
      <w:u w:val="single"/>
    </w:rPr>
  </w:style>
  <w:style w:type="paragraph" w:styleId="BalloonText">
    <w:name w:val="Balloon Text"/>
    <w:basedOn w:val="Normal"/>
    <w:link w:val="BalloonTextChar"/>
    <w:uiPriority w:val="99"/>
    <w:semiHidden/>
    <w:unhideWhenUsed/>
    <w:rsid w:val="00B5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767"/>
    <w:rPr>
      <w:rFonts w:ascii="Tahoma" w:hAnsi="Tahoma" w:cs="Tahoma"/>
      <w:sz w:val="16"/>
      <w:szCs w:val="16"/>
    </w:rPr>
  </w:style>
  <w:style w:type="table" w:styleId="TableGrid">
    <w:name w:val="Table Grid"/>
    <w:basedOn w:val="TableNormal"/>
    <w:uiPriority w:val="59"/>
    <w:rsid w:val="003B3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505"/>
    <w:pPr>
      <w:ind w:left="720"/>
      <w:contextualSpacing/>
    </w:pPr>
  </w:style>
  <w:style w:type="paragraph" w:styleId="HTMLPreformatted">
    <w:name w:val="HTML Preformatted"/>
    <w:basedOn w:val="Normal"/>
    <w:link w:val="HTMLPreformattedChar"/>
    <w:uiPriority w:val="99"/>
    <w:semiHidden/>
    <w:unhideWhenUsed/>
    <w:rsid w:val="00B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20B3"/>
    <w:rPr>
      <w:rFonts w:ascii="Courier New" w:eastAsia="Times New Roman" w:hAnsi="Courier New" w:cs="Courier New"/>
      <w:sz w:val="20"/>
      <w:szCs w:val="20"/>
    </w:rPr>
  </w:style>
  <w:style w:type="character" w:customStyle="1" w:styleId="y2iqfc">
    <w:name w:val="y2iqfc"/>
    <w:basedOn w:val="DefaultParagraphFont"/>
    <w:rsid w:val="00BF2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DB7"/>
    <w:rPr>
      <w:color w:val="0000FF" w:themeColor="hyperlink"/>
      <w:u w:val="single"/>
    </w:rPr>
  </w:style>
  <w:style w:type="paragraph" w:styleId="BalloonText">
    <w:name w:val="Balloon Text"/>
    <w:basedOn w:val="Normal"/>
    <w:link w:val="BalloonTextChar"/>
    <w:uiPriority w:val="99"/>
    <w:semiHidden/>
    <w:unhideWhenUsed/>
    <w:rsid w:val="00B5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767"/>
    <w:rPr>
      <w:rFonts w:ascii="Tahoma" w:hAnsi="Tahoma" w:cs="Tahoma"/>
      <w:sz w:val="16"/>
      <w:szCs w:val="16"/>
    </w:rPr>
  </w:style>
  <w:style w:type="table" w:styleId="TableGrid">
    <w:name w:val="Table Grid"/>
    <w:basedOn w:val="TableNormal"/>
    <w:uiPriority w:val="59"/>
    <w:rsid w:val="003B3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6505"/>
    <w:pPr>
      <w:ind w:left="720"/>
      <w:contextualSpacing/>
    </w:pPr>
  </w:style>
  <w:style w:type="paragraph" w:styleId="HTMLPreformatted">
    <w:name w:val="HTML Preformatted"/>
    <w:basedOn w:val="Normal"/>
    <w:link w:val="HTMLPreformattedChar"/>
    <w:uiPriority w:val="99"/>
    <w:semiHidden/>
    <w:unhideWhenUsed/>
    <w:rsid w:val="00BF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20B3"/>
    <w:rPr>
      <w:rFonts w:ascii="Courier New" w:eastAsia="Times New Roman" w:hAnsi="Courier New" w:cs="Courier New"/>
      <w:sz w:val="20"/>
      <w:szCs w:val="20"/>
    </w:rPr>
  </w:style>
  <w:style w:type="character" w:customStyle="1" w:styleId="y2iqfc">
    <w:name w:val="y2iqfc"/>
    <w:basedOn w:val="DefaultParagraphFont"/>
    <w:rsid w:val="00BF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5378">
      <w:bodyDiv w:val="1"/>
      <w:marLeft w:val="0"/>
      <w:marRight w:val="0"/>
      <w:marTop w:val="0"/>
      <w:marBottom w:val="0"/>
      <w:divBdr>
        <w:top w:val="none" w:sz="0" w:space="0" w:color="auto"/>
        <w:left w:val="none" w:sz="0" w:space="0" w:color="auto"/>
        <w:bottom w:val="none" w:sz="0" w:space="0" w:color="auto"/>
        <w:right w:val="none" w:sz="0" w:space="0" w:color="auto"/>
      </w:divBdr>
    </w:div>
    <w:div w:id="201480334">
      <w:bodyDiv w:val="1"/>
      <w:marLeft w:val="0"/>
      <w:marRight w:val="0"/>
      <w:marTop w:val="0"/>
      <w:marBottom w:val="0"/>
      <w:divBdr>
        <w:top w:val="none" w:sz="0" w:space="0" w:color="auto"/>
        <w:left w:val="none" w:sz="0" w:space="0" w:color="auto"/>
        <w:bottom w:val="none" w:sz="0" w:space="0" w:color="auto"/>
        <w:right w:val="none" w:sz="0" w:space="0" w:color="auto"/>
      </w:divBdr>
    </w:div>
    <w:div w:id="554194204">
      <w:bodyDiv w:val="1"/>
      <w:marLeft w:val="0"/>
      <w:marRight w:val="0"/>
      <w:marTop w:val="0"/>
      <w:marBottom w:val="0"/>
      <w:divBdr>
        <w:top w:val="none" w:sz="0" w:space="0" w:color="auto"/>
        <w:left w:val="none" w:sz="0" w:space="0" w:color="auto"/>
        <w:bottom w:val="none" w:sz="0" w:space="0" w:color="auto"/>
        <w:right w:val="none" w:sz="0" w:space="0" w:color="auto"/>
      </w:divBdr>
    </w:div>
    <w:div w:id="1045059574">
      <w:bodyDiv w:val="1"/>
      <w:marLeft w:val="0"/>
      <w:marRight w:val="0"/>
      <w:marTop w:val="0"/>
      <w:marBottom w:val="0"/>
      <w:divBdr>
        <w:top w:val="none" w:sz="0" w:space="0" w:color="auto"/>
        <w:left w:val="none" w:sz="0" w:space="0" w:color="auto"/>
        <w:bottom w:val="none" w:sz="0" w:space="0" w:color="auto"/>
        <w:right w:val="none" w:sz="0" w:space="0" w:color="auto"/>
      </w:divBdr>
    </w:div>
    <w:div w:id="1390764568">
      <w:bodyDiv w:val="1"/>
      <w:marLeft w:val="0"/>
      <w:marRight w:val="0"/>
      <w:marTop w:val="0"/>
      <w:marBottom w:val="0"/>
      <w:divBdr>
        <w:top w:val="none" w:sz="0" w:space="0" w:color="auto"/>
        <w:left w:val="none" w:sz="0" w:space="0" w:color="auto"/>
        <w:bottom w:val="none" w:sz="0" w:space="0" w:color="auto"/>
        <w:right w:val="none" w:sz="0" w:space="0" w:color="auto"/>
      </w:divBdr>
    </w:div>
    <w:div w:id="15324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180341100021@student.trunojoyo.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ke.nuzula@trunojoyo.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77/0003702819861552"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MATERI%20FILE\MBKM%20RISET\Data%20Baristan\Data%20barist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Kandungan Magnesium Pada Air</a:t>
            </a:r>
          </a:p>
        </c:rich>
      </c:tx>
      <c:overlay val="0"/>
    </c:title>
    <c:autoTitleDeleted val="0"/>
    <c:plotArea>
      <c:layout/>
      <c:barChart>
        <c:barDir val="col"/>
        <c:grouping val="clustered"/>
        <c:varyColors val="0"/>
        <c:ser>
          <c:idx val="0"/>
          <c:order val="0"/>
          <c:tx>
            <c:v>Air</c:v>
          </c:tx>
          <c:invertIfNegative val="0"/>
          <c:dLbls>
            <c:showLegendKey val="0"/>
            <c:showVal val="1"/>
            <c:showCatName val="0"/>
            <c:showSerName val="0"/>
            <c:showPercent val="0"/>
            <c:showBubbleSize val="0"/>
            <c:showLeaderLines val="0"/>
          </c:dLbls>
          <c:cat>
            <c:strRef>
              <c:f>Sheet7!$A$3:$A$10</c:f>
              <c:strCache>
                <c:ptCount val="8"/>
                <c:pt idx="0">
                  <c:v>air laut 1</c:v>
                </c:pt>
                <c:pt idx="1">
                  <c:v>Air Laut 2</c:v>
                </c:pt>
                <c:pt idx="2">
                  <c:v>Bozem 1</c:v>
                </c:pt>
                <c:pt idx="3">
                  <c:v>bozem 2</c:v>
                </c:pt>
                <c:pt idx="4">
                  <c:v>Peminihan  1</c:v>
                </c:pt>
                <c:pt idx="5">
                  <c:v>peminihan  2</c:v>
                </c:pt>
                <c:pt idx="6">
                  <c:v>Meja kristalisasi  1</c:v>
                </c:pt>
                <c:pt idx="7">
                  <c:v>Meja kristalisasi  2</c:v>
                </c:pt>
              </c:strCache>
            </c:strRef>
          </c:cat>
          <c:val>
            <c:numRef>
              <c:f>Sheet7!$B$3:$B$10</c:f>
              <c:numCache>
                <c:formatCode>General</c:formatCode>
                <c:ptCount val="8"/>
                <c:pt idx="0">
                  <c:v>219.9</c:v>
                </c:pt>
                <c:pt idx="1">
                  <c:v>223.1</c:v>
                </c:pt>
                <c:pt idx="2">
                  <c:v>32532.5</c:v>
                </c:pt>
                <c:pt idx="3">
                  <c:v>31945</c:v>
                </c:pt>
                <c:pt idx="4">
                  <c:v>11892.5</c:v>
                </c:pt>
                <c:pt idx="5">
                  <c:v>11740</c:v>
                </c:pt>
                <c:pt idx="6">
                  <c:v>245.9</c:v>
                </c:pt>
                <c:pt idx="7">
                  <c:v>243.8</c:v>
                </c:pt>
              </c:numCache>
            </c:numRef>
          </c:val>
        </c:ser>
        <c:dLbls>
          <c:showLegendKey val="0"/>
          <c:showVal val="0"/>
          <c:showCatName val="0"/>
          <c:showSerName val="0"/>
          <c:showPercent val="0"/>
          <c:showBubbleSize val="0"/>
        </c:dLbls>
        <c:gapWidth val="150"/>
        <c:axId val="265951872"/>
        <c:axId val="266142464"/>
      </c:barChart>
      <c:catAx>
        <c:axId val="265951872"/>
        <c:scaling>
          <c:orientation val="minMax"/>
        </c:scaling>
        <c:delete val="0"/>
        <c:axPos val="b"/>
        <c:title>
          <c:tx>
            <c:rich>
              <a:bodyPr/>
              <a:lstStyle/>
              <a:p>
                <a:pPr>
                  <a:defRPr/>
                </a:pPr>
                <a:r>
                  <a:rPr lang="en-US"/>
                  <a:t>Pengulangan</a:t>
                </a:r>
              </a:p>
            </c:rich>
          </c:tx>
          <c:overlay val="0"/>
        </c:title>
        <c:majorTickMark val="none"/>
        <c:minorTickMark val="none"/>
        <c:tickLblPos val="nextTo"/>
        <c:crossAx val="266142464"/>
        <c:crosses val="autoZero"/>
        <c:auto val="1"/>
        <c:lblAlgn val="ctr"/>
        <c:lblOffset val="100"/>
        <c:noMultiLvlLbl val="0"/>
      </c:catAx>
      <c:valAx>
        <c:axId val="266142464"/>
        <c:scaling>
          <c:orientation val="minMax"/>
        </c:scaling>
        <c:delete val="0"/>
        <c:axPos val="l"/>
        <c:majorGridlines/>
        <c:title>
          <c:tx>
            <c:rich>
              <a:bodyPr/>
              <a:lstStyle/>
              <a:p>
                <a:pPr>
                  <a:defRPr/>
                </a:pPr>
                <a:r>
                  <a:rPr lang="en-US"/>
                  <a:t>mg/L</a:t>
                </a:r>
              </a:p>
            </c:rich>
          </c:tx>
          <c:overlay val="0"/>
        </c:title>
        <c:numFmt formatCode="General" sourceLinked="1"/>
        <c:majorTickMark val="out"/>
        <c:minorTickMark val="none"/>
        <c:tickLblPos val="nextTo"/>
        <c:crossAx val="2659518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92DB1-D43D-44CC-9A7E-CC4CEB65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DARIK</dc:creator>
  <cp:lastModifiedBy>DARIK</cp:lastModifiedBy>
  <cp:revision>8</cp:revision>
  <dcterms:created xsi:type="dcterms:W3CDTF">2021-12-06T14:25:00Z</dcterms:created>
  <dcterms:modified xsi:type="dcterms:W3CDTF">2021-12-08T07:05:00Z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e67ba803-ae74-327c-aae6-4b04a031b8a8</vt:lpwstr>
  </property>
  <property fmtid="{D5CDD505-2E9C-101B-9397-08002B2CF9AE}" pid="24" name="Mendeley Citation Style_1">
    <vt:lpwstr>http://www.zotero.org/styles/apa</vt:lpwstr>
  </property>
</Properties>
</file>