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3A981" w14:textId="3D8A4FA2" w:rsidR="00F36D3A" w:rsidRPr="00F36D3A" w:rsidRDefault="00F36D3A" w:rsidP="00F36D3A">
      <w:pPr>
        <w:spacing w:line="276" w:lineRule="auto"/>
        <w:jc w:val="center"/>
        <w:rPr>
          <w:rFonts w:ascii="Segoe UI" w:hAnsi="Segoe UI" w:cs="Segoe UI"/>
          <w:b/>
          <w:bCs/>
          <w:sz w:val="32"/>
          <w:szCs w:val="32"/>
        </w:rPr>
      </w:pPr>
      <w:r w:rsidRPr="00F36D3A">
        <w:rPr>
          <w:rFonts w:ascii="Segoe UI" w:hAnsi="Segoe UI" w:cs="Segoe UI"/>
          <w:b/>
          <w:bCs/>
          <w:sz w:val="32"/>
          <w:szCs w:val="32"/>
        </w:rPr>
        <w:t xml:space="preserve">THE AWARENESS OF SHARIA FINANCIAL LITERACY  </w:t>
      </w:r>
    </w:p>
    <w:p w14:paraId="435A926E" w14:textId="021FCA2F" w:rsidR="00F36D3A" w:rsidRPr="00F36D3A" w:rsidRDefault="00F36D3A" w:rsidP="00F36D3A">
      <w:pPr>
        <w:spacing w:line="276" w:lineRule="auto"/>
        <w:jc w:val="center"/>
        <w:rPr>
          <w:rFonts w:ascii="Segoe UI" w:hAnsi="Segoe UI" w:cs="Segoe UI"/>
          <w:b/>
          <w:bCs/>
          <w:sz w:val="32"/>
          <w:szCs w:val="32"/>
        </w:rPr>
      </w:pPr>
      <w:r w:rsidRPr="00F36D3A">
        <w:rPr>
          <w:rFonts w:ascii="Segoe UI" w:hAnsi="Segoe UI" w:cs="Segoe UI"/>
          <w:b/>
          <w:bCs/>
          <w:sz w:val="32"/>
          <w:szCs w:val="32"/>
        </w:rPr>
        <w:t>IN THE QUARTERLIFE CRISIS PHASE</w:t>
      </w:r>
    </w:p>
    <w:p w14:paraId="2D2A67CB" w14:textId="067050C6" w:rsidR="00ED6C0D" w:rsidRPr="00ED6C0D" w:rsidRDefault="00ED6C0D" w:rsidP="00DE35BF">
      <w:pPr>
        <w:jc w:val="center"/>
        <w:rPr>
          <w:rFonts w:ascii="Segoe UI" w:hAnsi="Segoe UI" w:cstheme="majorBidi"/>
        </w:rPr>
      </w:pPr>
      <w:proofErr w:type="spellStart"/>
      <w:r w:rsidRPr="00ED6C0D">
        <w:rPr>
          <w:rFonts w:ascii="Segoe UI" w:hAnsi="Segoe UI" w:cstheme="majorBidi"/>
        </w:rPr>
        <w:t>A</w:t>
      </w:r>
      <w:r w:rsidR="00F36D3A">
        <w:rPr>
          <w:rFonts w:ascii="Segoe UI" w:hAnsi="Segoe UI" w:cstheme="majorBidi"/>
        </w:rPr>
        <w:t>lfina</w:t>
      </w:r>
      <w:proofErr w:type="spellEnd"/>
      <w:r w:rsidR="00F36D3A">
        <w:rPr>
          <w:rFonts w:ascii="Segoe UI" w:hAnsi="Segoe UI" w:cstheme="majorBidi"/>
        </w:rPr>
        <w:t xml:space="preserve"> </w:t>
      </w:r>
      <w:proofErr w:type="spellStart"/>
      <w:r w:rsidR="00F36D3A">
        <w:rPr>
          <w:rFonts w:ascii="Segoe UI" w:hAnsi="Segoe UI" w:cstheme="majorBidi"/>
        </w:rPr>
        <w:t>Rahmatia</w:t>
      </w:r>
      <w:proofErr w:type="spellEnd"/>
    </w:p>
    <w:p w14:paraId="7E7015B6" w14:textId="2B129493" w:rsidR="00ED6C0D" w:rsidRPr="00F36D3A" w:rsidRDefault="00F36D3A" w:rsidP="00DE35BF">
      <w:pPr>
        <w:jc w:val="center"/>
        <w:rPr>
          <w:rFonts w:ascii="Segoe UI" w:hAnsi="Segoe UI"/>
          <w:bCs/>
          <w:sz w:val="22"/>
          <w:szCs w:val="22"/>
          <w:lang w:val="id-ID"/>
        </w:rPr>
      </w:pPr>
      <w:hyperlink r:id="rId8" w:history="1">
        <w:r w:rsidRPr="00F36D3A">
          <w:rPr>
            <w:rStyle w:val="Hyperlink"/>
            <w:rFonts w:ascii="Segoe UI" w:hAnsi="Segoe UI" w:cstheme="majorBidi"/>
            <w:color w:val="auto"/>
            <w:u w:val="none"/>
          </w:rPr>
          <w:t>rahmatiaalfina@gmail.com</w:t>
        </w:r>
      </w:hyperlink>
    </w:p>
    <w:p w14:paraId="2CFDDF4E" w14:textId="77777777" w:rsidR="00FF6C45" w:rsidRDefault="00FF6C45" w:rsidP="00DE35BF">
      <w:pPr>
        <w:jc w:val="center"/>
        <w:rPr>
          <w:rFonts w:ascii="Segoe UI" w:hAnsi="Segoe UI"/>
          <w:bCs/>
          <w:sz w:val="22"/>
          <w:szCs w:val="22"/>
          <w:lang w:val="id-ID"/>
        </w:rPr>
      </w:pPr>
    </w:p>
    <w:p w14:paraId="226C744D" w14:textId="77777777" w:rsidR="00FF6C45" w:rsidRPr="00FF6C45" w:rsidRDefault="00FF6C45" w:rsidP="00DE35BF">
      <w:pPr>
        <w:jc w:val="center"/>
        <w:rPr>
          <w:rFonts w:ascii="Segoe UI" w:hAnsi="Segoe UI"/>
          <w:bCs/>
          <w:sz w:val="22"/>
          <w:szCs w:val="22"/>
          <w:lang w:val="id-ID"/>
        </w:rPr>
      </w:pPr>
      <w:r>
        <w:rPr>
          <w:rFonts w:ascii="Segoe UI" w:hAnsi="Segoe UI"/>
          <w:bCs/>
          <w:sz w:val="22"/>
          <w:szCs w:val="22"/>
          <w:lang w:val="id-ID"/>
        </w:rPr>
        <w:t xml:space="preserve">DOI : (Jika Artikel </w:t>
      </w:r>
      <w:proofErr w:type="spellStart"/>
      <w:r>
        <w:rPr>
          <w:rFonts w:ascii="Segoe UI" w:hAnsi="Segoe UI"/>
          <w:bCs/>
          <w:sz w:val="22"/>
          <w:szCs w:val="22"/>
          <w:lang w:val="id-ID"/>
        </w:rPr>
        <w:t>anda</w:t>
      </w:r>
      <w:proofErr w:type="spellEnd"/>
      <w:r>
        <w:rPr>
          <w:rFonts w:ascii="Segoe UI" w:hAnsi="Segoe UI"/>
          <w:bCs/>
          <w:sz w:val="22"/>
          <w:szCs w:val="22"/>
          <w:lang w:val="id-ID"/>
        </w:rPr>
        <w:t xml:space="preserve"> sudah diterima dan </w:t>
      </w:r>
      <w:proofErr w:type="spellStart"/>
      <w:r>
        <w:rPr>
          <w:rFonts w:ascii="Segoe UI" w:hAnsi="Segoe UI"/>
          <w:bCs/>
          <w:sz w:val="22"/>
          <w:szCs w:val="22"/>
          <w:lang w:val="id-ID"/>
        </w:rPr>
        <w:t>dipublish</w:t>
      </w:r>
      <w:proofErr w:type="spellEnd"/>
      <w:r>
        <w:rPr>
          <w:rFonts w:ascii="Segoe UI" w:hAnsi="Segoe UI"/>
          <w:bCs/>
          <w:sz w:val="22"/>
          <w:szCs w:val="22"/>
          <w:lang w:val="id-ID"/>
        </w:rPr>
        <w:t>)</w:t>
      </w:r>
    </w:p>
    <w:p w14:paraId="35B673F5" w14:textId="77777777" w:rsidR="00ED6C0D" w:rsidRPr="00D95390" w:rsidRDefault="00DE35BF" w:rsidP="00ED6C0D">
      <w:pPr>
        <w:ind w:right="-1" w:firstLine="709"/>
      </w:pPr>
      <w:r>
        <w:rPr>
          <w:rFonts w:ascii="Century725 Cn BT" w:hAnsi="Century725 Cn BT"/>
          <w:noProof/>
          <w:lang w:val="id-ID" w:eastAsia="id-ID"/>
        </w:rPr>
        <mc:AlternateContent>
          <mc:Choice Requires="wps">
            <w:drawing>
              <wp:anchor distT="0" distB="0" distL="114300" distR="114300" simplePos="0" relativeHeight="251659264" behindDoc="0" locked="0" layoutInCell="1" allowOverlap="1" wp14:anchorId="37DAC696" wp14:editId="5F0131D8">
                <wp:simplePos x="0" y="0"/>
                <wp:positionH relativeFrom="column">
                  <wp:posOffset>63500</wp:posOffset>
                </wp:positionH>
                <wp:positionV relativeFrom="paragraph">
                  <wp:posOffset>127000</wp:posOffset>
                </wp:positionV>
                <wp:extent cx="5987332" cy="0"/>
                <wp:effectExtent l="0" t="0" r="13970" b="19050"/>
                <wp:wrapNone/>
                <wp:docPr id="5" name="Straight Connector 5"/>
                <wp:cNvGraphicFramePr/>
                <a:graphic xmlns:a="http://schemas.openxmlformats.org/drawingml/2006/main">
                  <a:graphicData uri="http://schemas.microsoft.com/office/word/2010/wordprocessingShape">
                    <wps:wsp>
                      <wps:cNvCnPr/>
                      <wps:spPr>
                        <a:xfrm>
                          <a:off x="0" y="0"/>
                          <a:ext cx="59873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A3AE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pt" to="476.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" strokecolor="black [3040]" strokeweight="1.5pt"/>
            </w:pict>
          </mc:Fallback>
        </mc:AlternateContent>
      </w:r>
    </w:p>
    <w:p w14:paraId="338B4A82" w14:textId="77777777" w:rsidR="00FF6C45" w:rsidRDefault="00FF6C45" w:rsidP="009E55F1">
      <w:pPr>
        <w:pStyle w:val="Heading1"/>
        <w:spacing w:line="276" w:lineRule="auto"/>
        <w:ind w:left="0" w:firstLine="0"/>
        <w:jc w:val="center"/>
        <w:rPr>
          <w:rFonts w:ascii="Segoe UI" w:hAnsi="Segoe UI" w:cstheme="majorBidi"/>
          <w:b/>
          <w:bCs/>
          <w:iCs/>
          <w:sz w:val="26"/>
          <w:szCs w:val="26"/>
          <w:lang w:val="id-ID"/>
        </w:rPr>
      </w:pPr>
    </w:p>
    <w:p w14:paraId="707EEEBA" w14:textId="23859AE6" w:rsidR="001960C6" w:rsidRPr="00D31548" w:rsidRDefault="00ED6C0D" w:rsidP="00D31548">
      <w:pPr>
        <w:pStyle w:val="Heading1"/>
        <w:spacing w:after="120" w:line="276" w:lineRule="auto"/>
        <w:ind w:left="0" w:firstLine="0"/>
        <w:jc w:val="center"/>
        <w:rPr>
          <w:rFonts w:ascii="Segoe UI" w:hAnsi="Segoe UI" w:cstheme="majorBidi"/>
          <w:b/>
          <w:bCs/>
          <w:iCs/>
          <w:sz w:val="26"/>
          <w:szCs w:val="26"/>
          <w:lang w:val="id-ID"/>
        </w:rPr>
      </w:pPr>
      <w:r w:rsidRPr="00ED6C0D">
        <w:rPr>
          <w:rFonts w:ascii="Segoe UI" w:hAnsi="Segoe UI" w:cstheme="majorBidi"/>
          <w:b/>
          <w:bCs/>
          <w:iCs/>
          <w:sz w:val="26"/>
          <w:szCs w:val="26"/>
        </w:rPr>
        <w:t>Abstract</w:t>
      </w:r>
    </w:p>
    <w:p w14:paraId="34FEB702" w14:textId="27CC0FA8" w:rsidR="00D31548" w:rsidRPr="00D31548" w:rsidRDefault="00D31548" w:rsidP="00D31548">
      <w:pPr>
        <w:jc w:val="both"/>
        <w:rPr>
          <w:rFonts w:ascii="Garamond" w:hAnsi="Garamond" w:cstheme="majorBidi"/>
          <w:color w:val="000000"/>
          <w:sz w:val="26"/>
          <w:szCs w:val="26"/>
        </w:rPr>
      </w:pPr>
      <w:r w:rsidRPr="00D31548">
        <w:rPr>
          <w:rStyle w:val="Emphasis"/>
          <w:rFonts w:ascii="Garamond" w:hAnsi="Garamond"/>
          <w:color w:val="000000"/>
          <w:sz w:val="26"/>
          <w:szCs w:val="26"/>
        </w:rPr>
        <w:t xml:space="preserve">Nowadays, there are enormous challenges toward this era, especially the young generation between 20 and first 30 years old who will face quarterlife crisis phase in which one of the causes is literate or not literate to finance. The grand objective of this research is to analyze gender, income per month and marital status toward the awareness level to sharia financial literacy in the quarterlife crisis phase for IAIN </w:t>
      </w:r>
      <w:proofErr w:type="spellStart"/>
      <w:r w:rsidRPr="00D31548">
        <w:rPr>
          <w:rStyle w:val="Emphasis"/>
          <w:rFonts w:ascii="Garamond" w:hAnsi="Garamond"/>
          <w:color w:val="000000"/>
          <w:sz w:val="26"/>
          <w:szCs w:val="26"/>
        </w:rPr>
        <w:t>Palangka</w:t>
      </w:r>
      <w:proofErr w:type="spellEnd"/>
      <w:r w:rsidRPr="00D31548">
        <w:rPr>
          <w:rStyle w:val="Emphasis"/>
          <w:rFonts w:ascii="Garamond" w:hAnsi="Garamond"/>
          <w:color w:val="000000"/>
          <w:sz w:val="26"/>
          <w:szCs w:val="26"/>
        </w:rPr>
        <w:t xml:space="preserve"> Raya Alumni on 2010</w:t>
      </w:r>
      <w:r>
        <w:rPr>
          <w:rStyle w:val="Emphasis"/>
          <w:rFonts w:ascii="Garamond" w:hAnsi="Garamond"/>
          <w:color w:val="000000"/>
          <w:sz w:val="26"/>
          <w:szCs w:val="26"/>
        </w:rPr>
        <w:t>-</w:t>
      </w:r>
      <w:r w:rsidRPr="00D31548">
        <w:rPr>
          <w:rStyle w:val="Emphasis"/>
          <w:rFonts w:ascii="Garamond" w:hAnsi="Garamond"/>
          <w:color w:val="000000"/>
          <w:sz w:val="26"/>
          <w:szCs w:val="26"/>
        </w:rPr>
        <w:t>2015. Primary data applied in this study are compiled from questionnaire and interviews with the mixed methods. This research uses multiple regression with SPSS application, while the interview data uses descriptive analysis. The result reveals that gender and income per month have no significant influence </w:t>
      </w:r>
      <w:proofErr w:type="gramStart"/>
      <w:r w:rsidRPr="00D31548">
        <w:rPr>
          <w:rStyle w:val="Emphasis"/>
          <w:rFonts w:ascii="Garamond" w:hAnsi="Garamond"/>
          <w:color w:val="000000"/>
          <w:sz w:val="26"/>
          <w:szCs w:val="26"/>
        </w:rPr>
        <w:t>to</w:t>
      </w:r>
      <w:proofErr w:type="gramEnd"/>
      <w:r w:rsidRPr="00D31548">
        <w:rPr>
          <w:rStyle w:val="Emphasis"/>
          <w:rFonts w:ascii="Garamond" w:hAnsi="Garamond"/>
          <w:color w:val="000000"/>
          <w:sz w:val="26"/>
          <w:szCs w:val="26"/>
        </w:rPr>
        <w:t xml:space="preserve"> the awareness level of sharia financial literacy, but marital status has a significant influence to the awareness level of sharia financial literacy for IAIN </w:t>
      </w:r>
      <w:proofErr w:type="spellStart"/>
      <w:r w:rsidRPr="00D31548">
        <w:rPr>
          <w:rStyle w:val="Emphasis"/>
          <w:rFonts w:ascii="Garamond" w:hAnsi="Garamond"/>
          <w:color w:val="000000"/>
          <w:sz w:val="26"/>
          <w:szCs w:val="26"/>
        </w:rPr>
        <w:t>Palangka</w:t>
      </w:r>
      <w:proofErr w:type="spellEnd"/>
      <w:r w:rsidRPr="00D31548">
        <w:rPr>
          <w:rStyle w:val="Emphasis"/>
          <w:rFonts w:ascii="Garamond" w:hAnsi="Garamond"/>
          <w:color w:val="000000"/>
          <w:sz w:val="26"/>
          <w:szCs w:val="26"/>
        </w:rPr>
        <w:t xml:space="preserve"> Raya Alumni on 2010-2015.</w:t>
      </w:r>
      <w:r w:rsidRPr="00D31548">
        <w:rPr>
          <w:rFonts w:ascii="Garamond" w:hAnsi="Garamond" w:cstheme="majorBidi"/>
          <w:color w:val="000000"/>
          <w:sz w:val="26"/>
          <w:szCs w:val="26"/>
        </w:rPr>
        <w:t xml:space="preserve"> </w:t>
      </w:r>
    </w:p>
    <w:p w14:paraId="59097D47" w14:textId="17A1CB3E" w:rsidR="00ED6C0D" w:rsidRPr="00D31548" w:rsidRDefault="00ED6C0D" w:rsidP="00600627">
      <w:pPr>
        <w:jc w:val="both"/>
        <w:rPr>
          <w:rFonts w:ascii="Garamond" w:hAnsi="Garamond" w:cstheme="majorBidi"/>
          <w:i/>
          <w:iCs/>
          <w:sz w:val="26"/>
          <w:szCs w:val="26"/>
        </w:rPr>
      </w:pPr>
    </w:p>
    <w:p w14:paraId="5C17FC0F" w14:textId="77777777" w:rsidR="00DE35BF" w:rsidRPr="00DE35BF" w:rsidRDefault="00DE35BF" w:rsidP="00600627">
      <w:pPr>
        <w:jc w:val="both"/>
        <w:rPr>
          <w:rFonts w:ascii="Garamond" w:hAnsi="Garamond" w:cstheme="majorBidi"/>
          <w:i/>
          <w:iCs/>
          <w:sz w:val="26"/>
          <w:szCs w:val="26"/>
          <w:lang w:val="id-ID"/>
        </w:rPr>
      </w:pPr>
    </w:p>
    <w:p w14:paraId="1F2DC18A" w14:textId="75C4B4F2" w:rsidR="00ED6C0D" w:rsidRPr="00516E2C" w:rsidRDefault="00ED6C0D" w:rsidP="00ED6C0D">
      <w:pPr>
        <w:spacing w:after="100"/>
        <w:jc w:val="both"/>
        <w:rPr>
          <w:rFonts w:ascii="Garamond" w:hAnsi="Garamond" w:cstheme="majorBidi"/>
          <w:bCs/>
          <w:i/>
          <w:iCs/>
          <w:sz w:val="26"/>
          <w:szCs w:val="26"/>
        </w:rPr>
      </w:pPr>
      <w:r w:rsidRPr="00ED6C0D">
        <w:rPr>
          <w:rFonts w:ascii="Garamond" w:hAnsi="Garamond" w:cstheme="majorBidi"/>
          <w:b/>
          <w:i/>
          <w:iCs/>
          <w:sz w:val="26"/>
          <w:szCs w:val="26"/>
        </w:rPr>
        <w:t>Keywords</w:t>
      </w:r>
      <w:r w:rsidRPr="00516E2C">
        <w:rPr>
          <w:rFonts w:ascii="Garamond" w:hAnsi="Garamond" w:cstheme="majorBidi"/>
          <w:bCs/>
          <w:i/>
          <w:iCs/>
          <w:sz w:val="26"/>
          <w:szCs w:val="26"/>
        </w:rPr>
        <w:t xml:space="preserve">: </w:t>
      </w:r>
      <w:r w:rsidR="00D31548" w:rsidRPr="00D31548">
        <w:rPr>
          <w:rFonts w:ascii="Garamond" w:hAnsi="Garamond" w:cstheme="majorBidi"/>
          <w:i/>
          <w:iCs/>
          <w:color w:val="000000"/>
          <w:sz w:val="26"/>
          <w:szCs w:val="26"/>
        </w:rPr>
        <w:t>Sharia financial literacy, Awareness, Quarterlife crisis</w:t>
      </w:r>
      <w:r w:rsidR="00D31548">
        <w:rPr>
          <w:rFonts w:ascii="Garamond" w:hAnsi="Garamond" w:cstheme="majorBidi"/>
          <w:i/>
          <w:iCs/>
          <w:color w:val="000000"/>
          <w:sz w:val="26"/>
          <w:szCs w:val="26"/>
        </w:rPr>
        <w:t xml:space="preserve"> phase</w:t>
      </w:r>
    </w:p>
    <w:p w14:paraId="396688CD" w14:textId="77777777" w:rsidR="00BA6D8A" w:rsidRDefault="00BA6D8A" w:rsidP="00BA6D8A">
      <w:pPr>
        <w:rPr>
          <w:rFonts w:ascii="Segoe UI" w:hAnsi="Segoe UI" w:cstheme="majorBidi"/>
          <w:b/>
          <w:bCs/>
          <w:sz w:val="26"/>
          <w:szCs w:val="26"/>
          <w:lang w:val="id-ID"/>
        </w:rPr>
      </w:pPr>
    </w:p>
    <w:p w14:paraId="2D9AE6C2" w14:textId="77777777" w:rsidR="00DE35BF" w:rsidRDefault="00DE35BF" w:rsidP="00BA6D8A">
      <w:pPr>
        <w:rPr>
          <w:rFonts w:ascii="Segoe UI" w:hAnsi="Segoe UI" w:cstheme="majorBidi"/>
          <w:b/>
          <w:bCs/>
          <w:sz w:val="26"/>
          <w:szCs w:val="26"/>
          <w:lang w:val="id-ID"/>
        </w:rPr>
      </w:pPr>
    </w:p>
    <w:p w14:paraId="2A93627D" w14:textId="77777777" w:rsidR="00DE35BF" w:rsidRDefault="00DE35BF" w:rsidP="00BA6D8A">
      <w:pPr>
        <w:rPr>
          <w:rFonts w:ascii="Segoe UI" w:hAnsi="Segoe UI" w:cstheme="majorBidi"/>
          <w:b/>
          <w:bCs/>
          <w:sz w:val="26"/>
          <w:szCs w:val="26"/>
          <w:lang w:val="id-ID"/>
        </w:rPr>
      </w:pPr>
    </w:p>
    <w:p w14:paraId="73363038" w14:textId="77777777" w:rsidR="006B51AA" w:rsidRDefault="006B51AA" w:rsidP="00BA6D8A">
      <w:pPr>
        <w:rPr>
          <w:rFonts w:ascii="Segoe UI" w:hAnsi="Segoe UI" w:cstheme="majorBidi"/>
          <w:b/>
          <w:bCs/>
          <w:sz w:val="26"/>
          <w:szCs w:val="26"/>
          <w:lang w:val="id-ID"/>
        </w:rPr>
      </w:pPr>
    </w:p>
    <w:p w14:paraId="00E4DA3F" w14:textId="77777777" w:rsidR="006B51AA" w:rsidRDefault="006B51AA" w:rsidP="00BA6D8A">
      <w:pPr>
        <w:rPr>
          <w:rFonts w:ascii="Segoe UI" w:hAnsi="Segoe UI" w:cstheme="majorBidi"/>
          <w:b/>
          <w:bCs/>
          <w:sz w:val="26"/>
          <w:szCs w:val="26"/>
          <w:lang w:val="id-ID"/>
        </w:rPr>
      </w:pPr>
    </w:p>
    <w:p w14:paraId="669546C6" w14:textId="165E9E3B" w:rsidR="00DE35BF" w:rsidRDefault="00DE35BF" w:rsidP="00BA6D8A">
      <w:pPr>
        <w:rPr>
          <w:rFonts w:ascii="Segoe UI" w:hAnsi="Segoe UI" w:cstheme="majorBidi"/>
          <w:b/>
          <w:bCs/>
          <w:sz w:val="26"/>
          <w:szCs w:val="26"/>
          <w:lang w:val="id-ID"/>
        </w:rPr>
      </w:pPr>
    </w:p>
    <w:p w14:paraId="46E8E9B7" w14:textId="705AF8BB" w:rsidR="00D31548" w:rsidRDefault="00D31548" w:rsidP="00BA6D8A">
      <w:pPr>
        <w:rPr>
          <w:rFonts w:ascii="Segoe UI" w:hAnsi="Segoe UI" w:cstheme="majorBidi"/>
          <w:b/>
          <w:bCs/>
          <w:sz w:val="26"/>
          <w:szCs w:val="26"/>
          <w:lang w:val="id-ID"/>
        </w:rPr>
      </w:pPr>
    </w:p>
    <w:p w14:paraId="6D05034F" w14:textId="745CE4C2" w:rsidR="00D31548" w:rsidRDefault="00D31548" w:rsidP="00BA6D8A">
      <w:pPr>
        <w:rPr>
          <w:rFonts w:ascii="Segoe UI" w:hAnsi="Segoe UI" w:cstheme="majorBidi"/>
          <w:b/>
          <w:bCs/>
          <w:sz w:val="26"/>
          <w:szCs w:val="26"/>
          <w:lang w:val="id-ID"/>
        </w:rPr>
      </w:pPr>
    </w:p>
    <w:p w14:paraId="2AC0D872" w14:textId="77777777" w:rsidR="00D31548" w:rsidRDefault="00D31548" w:rsidP="00BA6D8A">
      <w:pPr>
        <w:rPr>
          <w:rFonts w:ascii="Segoe UI" w:hAnsi="Segoe UI" w:cstheme="majorBidi"/>
          <w:b/>
          <w:bCs/>
          <w:sz w:val="26"/>
          <w:szCs w:val="26"/>
          <w:lang w:val="id-ID"/>
        </w:rPr>
      </w:pPr>
    </w:p>
    <w:p w14:paraId="07C91A5D" w14:textId="02DAA82B" w:rsidR="00DE35BF" w:rsidRDefault="00DE35BF" w:rsidP="00BA6D8A">
      <w:pPr>
        <w:rPr>
          <w:rFonts w:ascii="Segoe UI" w:hAnsi="Segoe UI" w:cstheme="majorBidi"/>
          <w:b/>
          <w:bCs/>
          <w:sz w:val="26"/>
          <w:szCs w:val="26"/>
          <w:lang w:val="id-ID"/>
        </w:rPr>
      </w:pPr>
    </w:p>
    <w:p w14:paraId="19722827" w14:textId="28D13238" w:rsidR="00F36D3A" w:rsidRDefault="00F36D3A" w:rsidP="00BA6D8A">
      <w:pPr>
        <w:rPr>
          <w:rFonts w:ascii="Segoe UI" w:hAnsi="Segoe UI" w:cstheme="majorBidi"/>
          <w:b/>
          <w:bCs/>
          <w:sz w:val="26"/>
          <w:szCs w:val="26"/>
          <w:lang w:val="id-ID"/>
        </w:rPr>
      </w:pPr>
    </w:p>
    <w:p w14:paraId="7C805021" w14:textId="41B4FE31" w:rsidR="00F36D3A" w:rsidRDefault="00F36D3A" w:rsidP="00BA6D8A">
      <w:pPr>
        <w:rPr>
          <w:rFonts w:ascii="Segoe UI" w:hAnsi="Segoe UI" w:cstheme="majorBidi"/>
          <w:b/>
          <w:bCs/>
          <w:sz w:val="26"/>
          <w:szCs w:val="26"/>
          <w:lang w:val="id-ID"/>
        </w:rPr>
      </w:pPr>
    </w:p>
    <w:p w14:paraId="5788753E" w14:textId="77777777" w:rsidR="00F36D3A" w:rsidRDefault="00F36D3A" w:rsidP="00BA6D8A">
      <w:pPr>
        <w:rPr>
          <w:rFonts w:ascii="Segoe UI" w:hAnsi="Segoe UI" w:cstheme="majorBidi"/>
          <w:b/>
          <w:bCs/>
          <w:sz w:val="26"/>
          <w:szCs w:val="26"/>
          <w:lang w:val="id-ID"/>
        </w:rPr>
      </w:pPr>
    </w:p>
    <w:p w14:paraId="49050719" w14:textId="521FFC32" w:rsidR="005B597C" w:rsidRPr="00F64A42" w:rsidRDefault="00D31548" w:rsidP="005B597C">
      <w:pPr>
        <w:pStyle w:val="Heading2"/>
        <w:rPr>
          <w:rFonts w:ascii="Segoe UI" w:hAnsi="Segoe UI"/>
          <w:color w:val="auto"/>
          <w:lang w:val="id-ID"/>
        </w:rPr>
      </w:pPr>
      <w:bookmarkStart w:id="0" w:name="_Toc454003724"/>
      <w:r>
        <w:rPr>
          <w:rFonts w:ascii="Segoe UI" w:hAnsi="Segoe UI"/>
          <w:color w:val="auto"/>
        </w:rPr>
        <w:lastRenderedPageBreak/>
        <w:t>Introduction</w:t>
      </w:r>
      <w:r w:rsidR="005B597C" w:rsidRPr="005B597C">
        <w:rPr>
          <w:rFonts w:ascii="Segoe UI" w:hAnsi="Segoe UI"/>
          <w:color w:val="auto"/>
          <w:lang w:val="id-ID"/>
        </w:rPr>
        <w:t xml:space="preserve"> </w:t>
      </w:r>
      <w:r w:rsidR="00F64A42">
        <w:rPr>
          <w:rFonts w:ascii="Segoe UI" w:eastAsia="Times New Roman" w:hAnsi="Segoe UI" w:cs="Times New Roman"/>
          <w:b w:val="0"/>
          <w:color w:val="auto"/>
          <w:sz w:val="22"/>
          <w:szCs w:val="22"/>
          <w:lang w:val="id-ID"/>
        </w:rPr>
        <w:t xml:space="preserve"> </w:t>
      </w:r>
    </w:p>
    <w:p w14:paraId="4EF8ABBA" w14:textId="35B7F79C" w:rsidR="00D31548" w:rsidRPr="00D31548" w:rsidRDefault="00D31548" w:rsidP="00D31548">
      <w:pPr>
        <w:ind w:firstLine="720"/>
        <w:jc w:val="both"/>
        <w:rPr>
          <w:rFonts w:ascii="Garamond" w:hAnsi="Garamond" w:cstheme="majorBidi"/>
          <w:color w:val="000000" w:themeColor="text1"/>
          <w:sz w:val="26"/>
          <w:szCs w:val="26"/>
          <w:shd w:val="clear" w:color="auto" w:fill="FFFFFF"/>
        </w:rPr>
      </w:pPr>
      <w:r w:rsidRPr="00D31548">
        <w:rPr>
          <w:rFonts w:ascii="Garamond" w:hAnsi="Garamond" w:cstheme="majorBidi"/>
          <w:color w:val="000000"/>
          <w:sz w:val="26"/>
          <w:szCs w:val="26"/>
        </w:rPr>
        <w:t xml:space="preserve">Financial literacy has a strong relation with financial inclusion. </w:t>
      </w:r>
      <w:r w:rsidRPr="00D31548">
        <w:rPr>
          <w:rStyle w:val="Emphasis"/>
          <w:rFonts w:ascii="Garamond" w:hAnsi="Garamond"/>
          <w:color w:val="000000" w:themeColor="text1"/>
          <w:sz w:val="26"/>
          <w:szCs w:val="26"/>
          <w:bdr w:val="none" w:sz="0" w:space="0" w:color="auto" w:frame="1"/>
          <w:shd w:val="clear" w:color="auto" w:fill="FFFFFF"/>
        </w:rPr>
        <w:t>In general, the approach through a national strategy includes 3 (three) aspects, namely the provision of appropriate service facilities, the provision of suitable products, responsible finance through financial education and consumer protection</w:t>
      </w:r>
      <w:r w:rsidRPr="00D31548">
        <w:rPr>
          <w:rFonts w:ascii="Garamond" w:hAnsi="Garamond" w:cstheme="majorBidi"/>
          <w:color w:val="000000" w:themeColor="text1"/>
          <w:sz w:val="26"/>
          <w:szCs w:val="26"/>
          <w:shd w:val="clear" w:color="auto" w:fill="FFFFFF"/>
        </w:rPr>
        <w:t xml:space="preserve"> </w:t>
      </w:r>
      <w:sdt>
        <w:sdtPr>
          <w:rPr>
            <w:rFonts w:ascii="Garamond" w:hAnsi="Garamond" w:cstheme="majorBidi"/>
            <w:color w:val="000000" w:themeColor="text1"/>
            <w:sz w:val="26"/>
            <w:szCs w:val="26"/>
            <w:shd w:val="clear" w:color="auto" w:fill="FFFFFF"/>
          </w:rPr>
          <w:id w:val="890079360"/>
          <w:citation/>
        </w:sdtPr>
        <w:sdtContent>
          <w:r w:rsidRPr="00D31548">
            <w:rPr>
              <w:rFonts w:ascii="Garamond" w:hAnsi="Garamond" w:cstheme="majorBidi"/>
              <w:color w:val="000000" w:themeColor="text1"/>
              <w:sz w:val="26"/>
              <w:szCs w:val="26"/>
              <w:shd w:val="clear" w:color="auto" w:fill="FFFFFF"/>
            </w:rPr>
            <w:fldChar w:fldCharType="begin"/>
          </w:r>
          <w:r w:rsidRPr="00D31548">
            <w:rPr>
              <w:rFonts w:ascii="Garamond" w:hAnsi="Garamond" w:cstheme="majorBidi"/>
              <w:color w:val="000000" w:themeColor="text1"/>
              <w:sz w:val="26"/>
              <w:szCs w:val="26"/>
              <w:shd w:val="clear" w:color="auto" w:fill="FFFFFF"/>
            </w:rPr>
            <w:instrText xml:space="preserve">CITATION Keu19 \l 1033 </w:instrText>
          </w:r>
          <w:r w:rsidRPr="00D31548">
            <w:rPr>
              <w:rFonts w:ascii="Garamond" w:hAnsi="Garamond" w:cstheme="majorBidi"/>
              <w:color w:val="000000" w:themeColor="text1"/>
              <w:sz w:val="26"/>
              <w:szCs w:val="26"/>
              <w:shd w:val="clear" w:color="auto" w:fill="FFFFFF"/>
            </w:rPr>
            <w:fldChar w:fldCharType="separate"/>
          </w:r>
          <w:r w:rsidRPr="00D31548">
            <w:rPr>
              <w:rFonts w:ascii="Garamond" w:hAnsi="Garamond" w:cstheme="majorBidi"/>
              <w:noProof/>
              <w:color w:val="000000" w:themeColor="text1"/>
              <w:sz w:val="26"/>
              <w:szCs w:val="26"/>
              <w:shd w:val="clear" w:color="auto" w:fill="FFFFFF"/>
            </w:rPr>
            <w:t>(BI, 2019)</w:t>
          </w:r>
          <w:r w:rsidRPr="00D31548">
            <w:rPr>
              <w:rFonts w:ascii="Garamond" w:hAnsi="Garamond" w:cstheme="majorBidi"/>
              <w:color w:val="000000" w:themeColor="text1"/>
              <w:sz w:val="26"/>
              <w:szCs w:val="26"/>
              <w:shd w:val="clear" w:color="auto" w:fill="FFFFFF"/>
            </w:rPr>
            <w:fldChar w:fldCharType="end"/>
          </w:r>
        </w:sdtContent>
      </w:sdt>
      <w:r w:rsidRPr="00D31548">
        <w:rPr>
          <w:rFonts w:ascii="Garamond" w:hAnsi="Garamond" w:cstheme="majorBidi"/>
          <w:color w:val="000000" w:themeColor="text1"/>
          <w:sz w:val="26"/>
          <w:szCs w:val="26"/>
          <w:shd w:val="clear" w:color="auto" w:fill="FFFFFF"/>
        </w:rPr>
        <w:t xml:space="preserve">. In the 2016, </w:t>
      </w:r>
      <w:r w:rsidRPr="00D31548">
        <w:rPr>
          <w:rFonts w:ascii="Garamond" w:hAnsi="Garamond" w:cstheme="majorBidi"/>
          <w:color w:val="000000" w:themeColor="text1"/>
          <w:sz w:val="26"/>
          <w:szCs w:val="26"/>
        </w:rPr>
        <w:t xml:space="preserve">financial inclusive policies in Indonesia have been formulated by Financial Services Authority Regulation </w:t>
      </w:r>
      <w:sdt>
        <w:sdtPr>
          <w:rPr>
            <w:rFonts w:ascii="Garamond" w:hAnsi="Garamond" w:cstheme="majorBidi"/>
            <w:color w:val="000000"/>
            <w:sz w:val="26"/>
            <w:szCs w:val="26"/>
          </w:rPr>
          <w:id w:val="100232985"/>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OJK161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(OJK, 2016)</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 Inclusive finance is growing rapidl</w:t>
      </w:r>
      <w:r>
        <w:rPr>
          <w:rFonts w:ascii="Garamond" w:hAnsi="Garamond" w:cstheme="majorBidi"/>
          <w:color w:val="000000"/>
          <w:sz w:val="26"/>
          <w:szCs w:val="26"/>
        </w:rPr>
        <w:t>y</w:t>
      </w:r>
      <w:r w:rsidRPr="00D31548">
        <w:rPr>
          <w:rFonts w:ascii="Garamond" w:hAnsi="Garamond" w:cstheme="majorBidi"/>
          <w:color w:val="000000"/>
          <w:sz w:val="26"/>
          <w:szCs w:val="26"/>
        </w:rPr>
        <w:t xml:space="preserve"> because it has close links with poverty and social phenomena in the financial sector. </w:t>
      </w:r>
    </w:p>
    <w:p w14:paraId="34E0D45D" w14:textId="77777777" w:rsidR="00D31548" w:rsidRPr="00D31548" w:rsidRDefault="00D31548" w:rsidP="00D31548">
      <w:pPr>
        <w:ind w:firstLine="720"/>
        <w:jc w:val="both"/>
        <w:rPr>
          <w:rFonts w:ascii="Garamond" w:hAnsi="Garamond" w:cstheme="majorBidi"/>
          <w:color w:val="000000"/>
          <w:sz w:val="26"/>
          <w:szCs w:val="26"/>
        </w:rPr>
      </w:pPr>
      <w:r w:rsidRPr="00D31548">
        <w:rPr>
          <w:rFonts w:ascii="Garamond" w:hAnsi="Garamond" w:cstheme="majorBidi"/>
          <w:color w:val="000000"/>
          <w:sz w:val="26"/>
          <w:szCs w:val="26"/>
        </w:rPr>
        <w:t xml:space="preserve">In Indonesia, only about 52% of the population has access to formal financial services; but only 21% of the poor population is served. Then, in the financial sector in the form of savings and loans for example. About a third of the population has no savings at all, and bank credit reaches only 17% of the population, while Microfinance Institutions reach only about 10%. The data was obtained from the World Bank in 2012 </w:t>
      </w:r>
      <w:sdt>
        <w:sdtPr>
          <w:rPr>
            <w:rFonts w:ascii="Garamond" w:hAnsi="Garamond" w:cstheme="majorBidi"/>
            <w:color w:val="000000"/>
            <w:sz w:val="26"/>
            <w:szCs w:val="26"/>
          </w:rPr>
          <w:id w:val="175474680"/>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Bam141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(Widianto, 2014)</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 xml:space="preserve">. Within eight years, in 2018 only 48% of Indonesia's population had an account with a formal financial institution </w:t>
      </w:r>
      <w:sdt>
        <w:sdtPr>
          <w:rPr>
            <w:rFonts w:ascii="Garamond" w:hAnsi="Garamond" w:cstheme="majorBidi"/>
            <w:color w:val="000000"/>
            <w:sz w:val="26"/>
            <w:szCs w:val="26"/>
          </w:rPr>
          <w:id w:val="-533807108"/>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Wor19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(Bank, 2019)</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 That means there is no significant development in formal financial services in Indonesia in eight years.</w:t>
      </w:r>
    </w:p>
    <w:p w14:paraId="303FCCCD" w14:textId="1F5E1804" w:rsidR="00D31548" w:rsidRPr="00D31548" w:rsidRDefault="00D31548" w:rsidP="00D31548">
      <w:pPr>
        <w:ind w:firstLine="720"/>
        <w:jc w:val="both"/>
        <w:rPr>
          <w:rFonts w:ascii="Garamond" w:hAnsi="Garamond" w:cstheme="majorBidi"/>
          <w:color w:val="000000"/>
          <w:sz w:val="26"/>
          <w:szCs w:val="26"/>
        </w:rPr>
      </w:pPr>
      <w:r w:rsidRPr="00D31548">
        <w:rPr>
          <w:rFonts w:ascii="Garamond" w:hAnsi="Garamond" w:cstheme="majorBidi"/>
          <w:color w:val="000000"/>
          <w:sz w:val="26"/>
          <w:szCs w:val="26"/>
        </w:rPr>
        <w:t xml:space="preserve">Despite an increase in the level of financial inclusion from 2013 by 59.74% to 67.82% in 2016, knowledge of inclusive finance is still very low in Indonesian society </w:t>
      </w:r>
      <w:sdt>
        <w:sdtPr>
          <w:rPr>
            <w:rFonts w:ascii="Garamond" w:hAnsi="Garamond" w:cstheme="majorBidi"/>
            <w:color w:val="000000"/>
            <w:sz w:val="26"/>
            <w:szCs w:val="26"/>
          </w:rPr>
          <w:id w:val="-311106582"/>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Rob172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(Akyuwen &amp; Mangowal, 2017)</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 xml:space="preserve">. Then it needs to be improved by conducting activities or training on financial inclusion in a sustainable manner to the </w:t>
      </w:r>
      <w:proofErr w:type="gramStart"/>
      <w:r w:rsidRPr="00D31548">
        <w:rPr>
          <w:rFonts w:ascii="Garamond" w:hAnsi="Garamond" w:cstheme="majorBidi"/>
          <w:color w:val="000000"/>
          <w:sz w:val="26"/>
          <w:szCs w:val="26"/>
        </w:rPr>
        <w:t>community,</w:t>
      </w:r>
      <w:r>
        <w:rPr>
          <w:rFonts w:ascii="Garamond" w:hAnsi="Garamond" w:cstheme="majorBidi"/>
          <w:color w:val="000000"/>
          <w:sz w:val="26"/>
          <w:szCs w:val="26"/>
        </w:rPr>
        <w:t xml:space="preserve"> </w:t>
      </w:r>
      <w:r w:rsidRPr="00D31548">
        <w:rPr>
          <w:rFonts w:ascii="Garamond" w:hAnsi="Garamond" w:cstheme="majorBidi"/>
          <w:color w:val="000000"/>
          <w:sz w:val="26"/>
          <w:szCs w:val="26"/>
        </w:rPr>
        <w:t>and</w:t>
      </w:r>
      <w:proofErr w:type="gramEnd"/>
      <w:r w:rsidRPr="00D31548">
        <w:rPr>
          <w:rFonts w:ascii="Garamond" w:hAnsi="Garamond" w:cstheme="majorBidi"/>
          <w:color w:val="000000"/>
          <w:sz w:val="26"/>
          <w:szCs w:val="26"/>
        </w:rPr>
        <w:t xml:space="preserve"> providing assistance so that the quality of training output can be maintained. In addition to the training </w:t>
      </w:r>
      <w:proofErr w:type="gramStart"/>
      <w:r w:rsidRPr="00D31548">
        <w:rPr>
          <w:rFonts w:ascii="Garamond" w:hAnsi="Garamond" w:cstheme="majorBidi"/>
          <w:color w:val="000000"/>
          <w:sz w:val="26"/>
          <w:szCs w:val="26"/>
        </w:rPr>
        <w:t>program</w:t>
      </w:r>
      <w:proofErr w:type="gramEnd"/>
      <w:r w:rsidRPr="00D31548">
        <w:rPr>
          <w:rFonts w:ascii="Garamond" w:hAnsi="Garamond" w:cstheme="majorBidi"/>
          <w:color w:val="000000"/>
          <w:sz w:val="26"/>
          <w:szCs w:val="26"/>
        </w:rPr>
        <w:t xml:space="preserve"> which is an outreach, it is also necessary for the regional government to collaborate with banks and the Financial Services Authority to expand access to public financial services, including increasing public awareness of financial literacy </w:t>
      </w:r>
      <w:sdt>
        <w:sdtPr>
          <w:rPr>
            <w:rFonts w:ascii="Garamond" w:hAnsi="Garamond" w:cstheme="majorBidi"/>
            <w:color w:val="000000"/>
            <w:sz w:val="26"/>
            <w:szCs w:val="26"/>
          </w:rPr>
          <w:id w:val="-1886476275"/>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Ahm151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(Ma'ruf &amp; Desiyana, 2015)</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w:t>
      </w:r>
    </w:p>
    <w:p w14:paraId="1AA0A639" w14:textId="77777777" w:rsidR="00D31548" w:rsidRPr="00D31548" w:rsidRDefault="00D31548" w:rsidP="00D31548">
      <w:pPr>
        <w:ind w:firstLine="720"/>
        <w:jc w:val="both"/>
        <w:rPr>
          <w:rFonts w:ascii="Garamond" w:hAnsi="Garamond" w:cstheme="majorBidi"/>
          <w:color w:val="000000"/>
          <w:sz w:val="26"/>
          <w:szCs w:val="26"/>
        </w:rPr>
      </w:pPr>
      <w:r w:rsidRPr="00D31548">
        <w:rPr>
          <w:rFonts w:ascii="Garamond" w:hAnsi="Garamond" w:cstheme="majorBidi"/>
          <w:color w:val="000000"/>
          <w:sz w:val="26"/>
          <w:szCs w:val="26"/>
        </w:rPr>
        <w:t xml:space="preserve">Financial literacy is </w:t>
      </w:r>
      <w:proofErr w:type="gramStart"/>
      <w:r w:rsidRPr="00D31548">
        <w:rPr>
          <w:rFonts w:ascii="Garamond" w:hAnsi="Garamond" w:cstheme="majorBidi"/>
          <w:color w:val="000000"/>
          <w:sz w:val="26"/>
          <w:szCs w:val="26"/>
        </w:rPr>
        <w:t>essential</w:t>
      </w:r>
      <w:proofErr w:type="gramEnd"/>
      <w:r w:rsidRPr="00D31548">
        <w:rPr>
          <w:rFonts w:ascii="Garamond" w:hAnsi="Garamond" w:cstheme="majorBidi"/>
          <w:color w:val="000000"/>
          <w:sz w:val="26"/>
          <w:szCs w:val="26"/>
        </w:rPr>
        <w:t xml:space="preserve"> but it does not arise in any level of education in Indonesia. Thus, it can be said that educational background has no relation to the personal financial </w:t>
      </w:r>
      <w:proofErr w:type="spellStart"/>
      <w:r w:rsidRPr="00D31548">
        <w:rPr>
          <w:rFonts w:ascii="Garamond" w:hAnsi="Garamond" w:cstheme="majorBidi"/>
          <w:color w:val="000000"/>
          <w:sz w:val="26"/>
          <w:szCs w:val="26"/>
        </w:rPr>
        <w:t>knowlage</w:t>
      </w:r>
      <w:proofErr w:type="spellEnd"/>
      <w:r w:rsidRPr="00D31548">
        <w:rPr>
          <w:rFonts w:ascii="Garamond" w:hAnsi="Garamond" w:cstheme="majorBidi"/>
          <w:color w:val="000000"/>
          <w:sz w:val="26"/>
          <w:szCs w:val="26"/>
        </w:rPr>
        <w:t xml:space="preserve"> and management. According to Robert T. Kiyosaki, the financial literacy is the fundamental competency to peruse and comprehend financial accounts and to manage cash flow. Every people must know how financial planning from the income he has </w:t>
      </w:r>
      <w:sdt>
        <w:sdtPr>
          <w:rPr>
            <w:rFonts w:ascii="Garamond" w:hAnsi="Garamond" w:cstheme="majorBidi"/>
            <w:color w:val="000000"/>
            <w:sz w:val="26"/>
            <w:szCs w:val="26"/>
          </w:rPr>
          <w:id w:val="957675850"/>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Rob002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(Kiyosaki, 2000)</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 xml:space="preserve">. In addition to knowing the outflows and outflows of money that we have, also to escape something unexpected. </w:t>
      </w:r>
    </w:p>
    <w:p w14:paraId="201592B4" w14:textId="77777777" w:rsidR="00D31548" w:rsidRPr="00D31548" w:rsidRDefault="00D31548" w:rsidP="00D31548">
      <w:pPr>
        <w:ind w:firstLine="720"/>
        <w:jc w:val="both"/>
        <w:rPr>
          <w:rFonts w:ascii="Garamond" w:hAnsi="Garamond" w:cstheme="majorBidi"/>
          <w:bCs/>
          <w:sz w:val="26"/>
          <w:szCs w:val="26"/>
        </w:rPr>
      </w:pPr>
      <w:r w:rsidRPr="00D31548">
        <w:rPr>
          <w:rFonts w:ascii="Garamond" w:hAnsi="Garamond" w:cstheme="majorBidi"/>
          <w:bCs/>
          <w:sz w:val="26"/>
          <w:szCs w:val="26"/>
        </w:rPr>
        <w:t xml:space="preserve">Nowadays awareness of financial literacy is no longer rare to be discussed, </w:t>
      </w:r>
      <w:proofErr w:type="gramStart"/>
      <w:r w:rsidRPr="00D31548">
        <w:rPr>
          <w:rFonts w:ascii="Garamond" w:hAnsi="Garamond" w:cstheme="majorBidi"/>
          <w:bCs/>
          <w:sz w:val="26"/>
          <w:szCs w:val="26"/>
        </w:rPr>
        <w:t>studied</w:t>
      </w:r>
      <w:proofErr w:type="gramEnd"/>
      <w:r w:rsidRPr="00D31548">
        <w:rPr>
          <w:rFonts w:ascii="Garamond" w:hAnsi="Garamond" w:cstheme="majorBidi"/>
          <w:bCs/>
          <w:sz w:val="26"/>
          <w:szCs w:val="26"/>
        </w:rPr>
        <w:t xml:space="preserve"> and researched. Financial literacy becomes very important not only for employees, but also for </w:t>
      </w:r>
      <w:proofErr w:type="gramStart"/>
      <w:r w:rsidRPr="00D31548">
        <w:rPr>
          <w:rFonts w:ascii="Garamond" w:hAnsi="Garamond" w:cstheme="majorBidi"/>
          <w:bCs/>
          <w:sz w:val="26"/>
          <w:szCs w:val="26"/>
        </w:rPr>
        <w:t>each individual</w:t>
      </w:r>
      <w:proofErr w:type="gramEnd"/>
      <w:r w:rsidRPr="00D31548">
        <w:rPr>
          <w:rFonts w:ascii="Garamond" w:hAnsi="Garamond" w:cstheme="majorBidi"/>
          <w:bCs/>
          <w:sz w:val="26"/>
          <w:szCs w:val="26"/>
        </w:rPr>
        <w:t xml:space="preserve"> especially in dealing with complex economic conditions. There are even studies that say that there is a very strong relationship between financial literacy and one's way of life </w:t>
      </w:r>
      <w:sdt>
        <w:sdtPr>
          <w:rPr>
            <w:rFonts w:ascii="Garamond" w:hAnsi="Garamond" w:cstheme="majorBidi"/>
            <w:bCs/>
            <w:sz w:val="26"/>
            <w:szCs w:val="26"/>
          </w:rPr>
          <w:id w:val="-392346255"/>
          <w:citation/>
        </w:sdtPr>
        <w:sdtContent>
          <w:r w:rsidRPr="00D31548">
            <w:rPr>
              <w:rFonts w:ascii="Garamond" w:hAnsi="Garamond" w:cstheme="majorBidi"/>
              <w:bCs/>
              <w:sz w:val="26"/>
              <w:szCs w:val="26"/>
            </w:rPr>
            <w:fldChar w:fldCharType="begin"/>
          </w:r>
          <w:r w:rsidRPr="00D31548">
            <w:rPr>
              <w:rFonts w:ascii="Garamond" w:hAnsi="Garamond" w:cstheme="majorBidi"/>
              <w:bCs/>
              <w:sz w:val="26"/>
              <w:szCs w:val="26"/>
            </w:rPr>
            <w:instrText xml:space="preserve"> CITATION Geo092 \l 1033 </w:instrText>
          </w:r>
          <w:r w:rsidRPr="00D31548">
            <w:rPr>
              <w:rFonts w:ascii="Garamond" w:hAnsi="Garamond" w:cstheme="majorBidi"/>
              <w:bCs/>
              <w:sz w:val="26"/>
              <w:szCs w:val="26"/>
            </w:rPr>
            <w:fldChar w:fldCharType="separate"/>
          </w:r>
          <w:r w:rsidRPr="00D31548">
            <w:rPr>
              <w:rFonts w:ascii="Garamond" w:hAnsi="Garamond" w:cstheme="majorBidi"/>
              <w:noProof/>
              <w:sz w:val="26"/>
              <w:szCs w:val="26"/>
            </w:rPr>
            <w:t>(Gaberlavage, 2009)</w:t>
          </w:r>
          <w:r w:rsidRPr="00D31548">
            <w:rPr>
              <w:rFonts w:ascii="Garamond" w:hAnsi="Garamond" w:cstheme="majorBidi"/>
              <w:bCs/>
              <w:sz w:val="26"/>
              <w:szCs w:val="26"/>
            </w:rPr>
            <w:fldChar w:fldCharType="end"/>
          </w:r>
        </w:sdtContent>
      </w:sdt>
      <w:r w:rsidRPr="00D31548">
        <w:rPr>
          <w:rFonts w:ascii="Garamond" w:hAnsi="Garamond" w:cstheme="majorBidi"/>
          <w:bCs/>
          <w:sz w:val="26"/>
          <w:szCs w:val="26"/>
        </w:rPr>
        <w:t>.</w:t>
      </w:r>
    </w:p>
    <w:p w14:paraId="76A9CD7E"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 xml:space="preserve">According to the 2013 Indonesian Financial Literacy National Survey, it showed that the level of financial literacy of the Indonesian people was 21.84% with the share for banks classified as well literate at 21.8%, sufficient literate at 75.44%, less literate at 2.04% and not literate of 0.73%, with a level of use of banking financial products and services of 57.28%. This figure illustrates that the level of financial literacy of Indonesian people is </w:t>
      </w:r>
      <w:r w:rsidRPr="00D31548">
        <w:rPr>
          <w:rFonts w:ascii="Garamond" w:hAnsi="Garamond" w:cstheme="majorBidi"/>
          <w:sz w:val="26"/>
          <w:szCs w:val="26"/>
        </w:rPr>
        <w:lastRenderedPageBreak/>
        <w:t xml:space="preserve">still low </w:t>
      </w:r>
      <w:sdt>
        <w:sdtPr>
          <w:rPr>
            <w:rFonts w:ascii="Garamond" w:hAnsi="Garamond" w:cstheme="majorBidi"/>
            <w:sz w:val="26"/>
            <w:szCs w:val="26"/>
          </w:rPr>
          <w:id w:val="1304435642"/>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OJK131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(OJK, 2013)</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Then in 2016, financial literacy in Indonesia increased to 29.66%. While sharia financial literacy is still low at 8.11% </w:t>
      </w:r>
      <w:sdt>
        <w:sdtPr>
          <w:rPr>
            <w:rFonts w:ascii="Garamond" w:hAnsi="Garamond" w:cstheme="majorBidi"/>
            <w:sz w:val="26"/>
            <w:szCs w:val="26"/>
          </w:rPr>
          <w:id w:val="1292717588"/>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OJK162 \t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(OJK, 2016)</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6B3D4D43"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bCs/>
          <w:sz w:val="26"/>
          <w:szCs w:val="26"/>
        </w:rPr>
        <w:t>Islamic financial literacy that is closely related to Islamic economics notes that based on the 2017 Global Islamic Economic Index which measures the development of Islamic economies around the world, places Indonesia at number 9, far behind Malaysia which ranks first. The reason for the low ranking of Indonesia on the Global Islamic Economic Index is the low sharia financial literacy of the Indonesian</w:t>
      </w:r>
      <w:r w:rsidRPr="00D31548">
        <w:rPr>
          <w:rFonts w:ascii="Garamond" w:hAnsi="Garamond" w:cstheme="majorBidi"/>
          <w:sz w:val="26"/>
          <w:szCs w:val="26"/>
        </w:rPr>
        <w:t xml:space="preserve"> </w:t>
      </w:r>
      <w:sdt>
        <w:sdtPr>
          <w:rPr>
            <w:rFonts w:ascii="Garamond" w:hAnsi="Garamond" w:cstheme="majorBidi"/>
            <w:sz w:val="26"/>
            <w:szCs w:val="26"/>
          </w:rPr>
          <w:id w:val="1763339747"/>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Nur16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(Wahyuni, 2016)</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29C9F229"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 xml:space="preserve">The population in Indonesia in 2018 will reach 265 million. The number consisted of 133.17 million men and 131.88 million women. According to age groups, the population that is still classified as children (0-14 years) reaches 70.49 million people or around 26.6% of the total population. For the population in the productive age category (14-64 years old) 179.13 million people (67.6%) and the elderly population 65 and over 85.89 million people (5.8%) </w:t>
      </w:r>
      <w:sdt>
        <w:sdtPr>
          <w:rPr>
            <w:rFonts w:ascii="Garamond" w:hAnsi="Garamond" w:cstheme="majorBidi"/>
            <w:sz w:val="26"/>
            <w:szCs w:val="26"/>
          </w:rPr>
          <w:id w:val="11353189"/>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Dat18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(Data Publish, 2018)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Populations of productive age make up </w:t>
      </w:r>
      <w:proofErr w:type="gramStart"/>
      <w:r w:rsidRPr="00D31548">
        <w:rPr>
          <w:rFonts w:ascii="Garamond" w:hAnsi="Garamond" w:cstheme="majorBidi"/>
          <w:sz w:val="26"/>
          <w:szCs w:val="26"/>
        </w:rPr>
        <w:t>the majority of</w:t>
      </w:r>
      <w:proofErr w:type="gramEnd"/>
      <w:r w:rsidRPr="00D31548">
        <w:rPr>
          <w:rFonts w:ascii="Garamond" w:hAnsi="Garamond" w:cstheme="majorBidi"/>
          <w:sz w:val="26"/>
          <w:szCs w:val="26"/>
        </w:rPr>
        <w:t xml:space="preserve"> the population.</w:t>
      </w:r>
    </w:p>
    <w:p w14:paraId="435BDB3F"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 xml:space="preserve">According to </w:t>
      </w:r>
      <w:proofErr w:type="spellStart"/>
      <w:r w:rsidRPr="00D31548">
        <w:rPr>
          <w:rFonts w:ascii="Garamond" w:hAnsi="Garamond" w:cstheme="majorBidi"/>
          <w:sz w:val="26"/>
          <w:szCs w:val="26"/>
        </w:rPr>
        <w:t>Thorspecken</w:t>
      </w:r>
      <w:proofErr w:type="spellEnd"/>
      <w:r w:rsidRPr="00D31548">
        <w:rPr>
          <w:rFonts w:ascii="Garamond" w:hAnsi="Garamond" w:cstheme="majorBidi"/>
          <w:sz w:val="26"/>
          <w:szCs w:val="26"/>
        </w:rPr>
        <w:t xml:space="preserve">, the quarterlife crisis is a growing phenomenon that occurs in American society that affects many young adults in their 20s and 30s. This is a period of stress, </w:t>
      </w:r>
      <w:proofErr w:type="gramStart"/>
      <w:r w:rsidRPr="00D31548">
        <w:rPr>
          <w:rFonts w:ascii="Garamond" w:hAnsi="Garamond" w:cstheme="majorBidi"/>
          <w:sz w:val="26"/>
          <w:szCs w:val="26"/>
        </w:rPr>
        <w:t>instability</w:t>
      </w:r>
      <w:proofErr w:type="gramEnd"/>
      <w:r w:rsidRPr="00D31548">
        <w:rPr>
          <w:rFonts w:ascii="Garamond" w:hAnsi="Garamond" w:cstheme="majorBidi"/>
          <w:sz w:val="26"/>
          <w:szCs w:val="26"/>
        </w:rPr>
        <w:t xml:space="preserve"> and major changes in life. A quarter-life crisis occurs when many young adults feel doubtful about their future and feel trapped in their life choices </w:t>
      </w:r>
      <w:sdt>
        <w:sdtPr>
          <w:rPr>
            <w:rFonts w:ascii="Garamond" w:hAnsi="Garamond" w:cstheme="majorBidi"/>
            <w:sz w:val="26"/>
            <w:szCs w:val="26"/>
          </w:rPr>
          <w:id w:val="8705181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Jen051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(M.Thorspecken, 2005)</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Seeing the previous data on the population in </w:t>
      </w:r>
      <w:proofErr w:type="gramStart"/>
      <w:r w:rsidRPr="00D31548">
        <w:rPr>
          <w:rFonts w:ascii="Garamond" w:hAnsi="Garamond" w:cstheme="majorBidi"/>
          <w:sz w:val="26"/>
          <w:szCs w:val="26"/>
        </w:rPr>
        <w:t>Indonesia</w:t>
      </w:r>
      <w:proofErr w:type="gramEnd"/>
      <w:r w:rsidRPr="00D31548">
        <w:rPr>
          <w:rFonts w:ascii="Garamond" w:hAnsi="Garamond" w:cstheme="majorBidi"/>
          <w:sz w:val="26"/>
          <w:szCs w:val="26"/>
        </w:rPr>
        <w:t xml:space="preserve"> which is dominated by productive age, which means that at the age of 20 and 30 years it occupies around 20% of the percentage of the population of Indonesia, then the role of that age is very crucial given the existence of the quarterlife crisis phenomenon. </w:t>
      </w:r>
    </w:p>
    <w:p w14:paraId="35F6DD40"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 xml:space="preserve">Oliver Robinson in his article entitled How to Turn Your Quarterlife Crisis into Quarterlife Catalyst in 2017, one of the senior lecturers in the field of psychology at Greenwich University said that 60% of individuals aged 25 - 35 </w:t>
      </w:r>
      <w:proofErr w:type="spellStart"/>
      <w:r w:rsidRPr="00D31548">
        <w:rPr>
          <w:rFonts w:ascii="Garamond" w:hAnsi="Garamond" w:cstheme="majorBidi"/>
          <w:sz w:val="26"/>
          <w:szCs w:val="26"/>
        </w:rPr>
        <w:t>years experience</w:t>
      </w:r>
      <w:proofErr w:type="spellEnd"/>
      <w:r w:rsidRPr="00D31548">
        <w:rPr>
          <w:rFonts w:ascii="Garamond" w:hAnsi="Garamond" w:cstheme="majorBidi"/>
          <w:sz w:val="26"/>
          <w:szCs w:val="26"/>
        </w:rPr>
        <w:t xml:space="preserve"> difficulties in managing their finances, and 30% more do more expenses than income. This causes financial crisis in their lives even though the age has entered a productive age which will indirectly also affect the level of public awareness of </w:t>
      </w:r>
      <w:proofErr w:type="spellStart"/>
      <w:r w:rsidRPr="00D31548">
        <w:rPr>
          <w:rFonts w:ascii="Garamond" w:hAnsi="Garamond" w:cstheme="majorBidi"/>
          <w:sz w:val="26"/>
          <w:szCs w:val="26"/>
        </w:rPr>
        <w:t>shari'ah</w:t>
      </w:r>
      <w:proofErr w:type="spellEnd"/>
      <w:r w:rsidRPr="00D31548">
        <w:rPr>
          <w:rFonts w:ascii="Garamond" w:hAnsi="Garamond" w:cstheme="majorBidi"/>
          <w:sz w:val="26"/>
          <w:szCs w:val="26"/>
        </w:rPr>
        <w:t xml:space="preserve"> financial literacy </w:t>
      </w:r>
      <w:proofErr w:type="gramStart"/>
      <w:r w:rsidRPr="00D31548">
        <w:rPr>
          <w:rFonts w:ascii="Garamond" w:hAnsi="Garamond" w:cstheme="majorBidi"/>
          <w:sz w:val="26"/>
          <w:szCs w:val="26"/>
        </w:rPr>
        <w:t>in particular because</w:t>
      </w:r>
      <w:proofErr w:type="gramEnd"/>
      <w:r w:rsidRPr="00D31548">
        <w:rPr>
          <w:rFonts w:ascii="Garamond" w:hAnsi="Garamond" w:cstheme="majorBidi"/>
          <w:sz w:val="26"/>
          <w:szCs w:val="26"/>
        </w:rPr>
        <w:t xml:space="preserve"> the presence of the Islamic economic system in financial institutions gives a new atmosphere.</w:t>
      </w:r>
    </w:p>
    <w:p w14:paraId="056985C4" w14:textId="3E8E27E5" w:rsidR="00D31548" w:rsidRPr="00D31548" w:rsidRDefault="00D31548" w:rsidP="00D31548">
      <w:pPr>
        <w:ind w:firstLine="720"/>
        <w:jc w:val="both"/>
        <w:rPr>
          <w:rFonts w:ascii="Garamond" w:hAnsi="Garamond" w:cstheme="majorBidi"/>
          <w:bCs/>
          <w:sz w:val="26"/>
          <w:szCs w:val="26"/>
        </w:rPr>
      </w:pPr>
      <w:r w:rsidRPr="00D31548">
        <w:rPr>
          <w:rFonts w:ascii="Garamond" w:hAnsi="Garamond" w:cstheme="majorBidi"/>
          <w:sz w:val="26"/>
          <w:szCs w:val="26"/>
        </w:rPr>
        <w:t xml:space="preserve">The Islamic economic system appears at a junction, and increasingly shows its existence among former conventional economic systems, so it is very feasible to be developed. This can be proven when the economic crisis in Indonesia in 1998, when all conventional banks went bankrupt, Islamic bank remained upright without being affected by the crisis. The phenomenon became the public spotlight until today. Another part which forms the Islamic economic system turned the spotlight is the characteristics that are implement in the Islamic economic system, as like as the profit-sharing system which removes interest </w:t>
      </w:r>
      <w:sdt>
        <w:sdtPr>
          <w:rPr>
            <w:rFonts w:ascii="Garamond" w:hAnsi="Garamond" w:cstheme="majorBidi"/>
            <w:sz w:val="26"/>
            <w:szCs w:val="26"/>
          </w:rPr>
          <w:id w:val="-579143920"/>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Mas081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(Muqorobin, 2008)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3C3D6FE5" w14:textId="77777777" w:rsidR="00D31548" w:rsidRPr="00D31548" w:rsidRDefault="00D31548" w:rsidP="00D31548">
      <w:pPr>
        <w:ind w:firstLine="720"/>
        <w:jc w:val="both"/>
        <w:rPr>
          <w:rFonts w:ascii="Garamond" w:hAnsi="Garamond" w:cstheme="majorBidi"/>
          <w:bCs/>
          <w:sz w:val="26"/>
          <w:szCs w:val="26"/>
        </w:rPr>
      </w:pPr>
      <w:r w:rsidRPr="00D31548">
        <w:rPr>
          <w:rFonts w:ascii="Garamond" w:hAnsi="Garamond" w:cstheme="majorBidi"/>
          <w:color w:val="000000"/>
          <w:sz w:val="26"/>
          <w:szCs w:val="26"/>
        </w:rPr>
        <w:t xml:space="preserve">The younger generation, especially at the age of quarterlife, faces great challenges regarding managing their own finances, especially in the face of a growing era like today. However, there is not yet one subject or special training that young people can take to support it from elementary school to university, so it is not uncommon for them to feel stressed and depressed. Including the alumni of IAIN </w:t>
      </w:r>
      <w:proofErr w:type="spellStart"/>
      <w:r w:rsidRPr="00D31548">
        <w:rPr>
          <w:rFonts w:ascii="Garamond" w:hAnsi="Garamond" w:cstheme="majorBidi"/>
          <w:color w:val="000000"/>
          <w:sz w:val="26"/>
          <w:szCs w:val="26"/>
        </w:rPr>
        <w:t>Palangka</w:t>
      </w:r>
      <w:proofErr w:type="spellEnd"/>
      <w:r w:rsidRPr="00D31548">
        <w:rPr>
          <w:rFonts w:ascii="Garamond" w:hAnsi="Garamond" w:cstheme="majorBidi"/>
          <w:color w:val="000000"/>
          <w:sz w:val="26"/>
          <w:szCs w:val="26"/>
        </w:rPr>
        <w:t xml:space="preserve"> Raya through a search by </w:t>
      </w:r>
      <w:r w:rsidRPr="00D31548">
        <w:rPr>
          <w:rFonts w:ascii="Garamond" w:hAnsi="Garamond" w:cstheme="majorBidi"/>
          <w:color w:val="000000"/>
          <w:sz w:val="26"/>
          <w:szCs w:val="26"/>
        </w:rPr>
        <w:lastRenderedPageBreak/>
        <w:t>the author through free interviews, many of them are pressured by thoughts of the future such as a career that begins with a lack of understanding of financial literacy awareness.</w:t>
      </w:r>
    </w:p>
    <w:p w14:paraId="64669896" w14:textId="77CC08F9" w:rsidR="00D31548" w:rsidRPr="00D31548" w:rsidRDefault="00D31548" w:rsidP="00D31548">
      <w:pPr>
        <w:ind w:firstLine="720"/>
        <w:jc w:val="both"/>
        <w:rPr>
          <w:rFonts w:ascii="Garamond" w:hAnsi="Garamond" w:cstheme="majorBidi"/>
          <w:color w:val="000000"/>
          <w:sz w:val="26"/>
          <w:szCs w:val="26"/>
        </w:rPr>
      </w:pPr>
      <w:r w:rsidRPr="00D31548">
        <w:rPr>
          <w:rFonts w:ascii="Garamond" w:hAnsi="Garamond" w:cstheme="majorBidi"/>
          <w:color w:val="000000"/>
          <w:sz w:val="26"/>
          <w:szCs w:val="26"/>
        </w:rPr>
        <w:t xml:space="preserve">For this reason, the author takes the title "The Analysis of Factors Affecting the Awareness Level of Sharia Financial Literacy in the Quarterlife Crisis Phase of IAIN </w:t>
      </w:r>
      <w:proofErr w:type="spellStart"/>
      <w:r w:rsidRPr="00D31548">
        <w:rPr>
          <w:rFonts w:ascii="Garamond" w:hAnsi="Garamond" w:cstheme="majorBidi"/>
          <w:color w:val="000000"/>
          <w:sz w:val="26"/>
          <w:szCs w:val="26"/>
        </w:rPr>
        <w:t>Palangka</w:t>
      </w:r>
      <w:proofErr w:type="spellEnd"/>
      <w:r w:rsidRPr="00D31548">
        <w:rPr>
          <w:rFonts w:ascii="Garamond" w:hAnsi="Garamond" w:cstheme="majorBidi"/>
          <w:color w:val="000000"/>
          <w:sz w:val="26"/>
          <w:szCs w:val="26"/>
        </w:rPr>
        <w:t xml:space="preserve"> Raya Alumni Period 2010 - 2015."</w:t>
      </w:r>
    </w:p>
    <w:p w14:paraId="2D858825" w14:textId="79429E95" w:rsidR="005B597C" w:rsidRPr="005B597C" w:rsidRDefault="00F36D3A" w:rsidP="005B597C">
      <w:pPr>
        <w:pStyle w:val="Heading2"/>
        <w:rPr>
          <w:rFonts w:ascii="Segoe UI" w:hAnsi="Segoe UI"/>
          <w:color w:val="auto"/>
          <w:lang w:val="id-ID"/>
        </w:rPr>
      </w:pPr>
      <w:r>
        <w:rPr>
          <w:rFonts w:ascii="Segoe UI" w:hAnsi="Segoe UI"/>
          <w:color w:val="auto"/>
        </w:rPr>
        <w:t>Literature Review</w:t>
      </w:r>
      <w:r w:rsidR="005B597C" w:rsidRPr="005B597C">
        <w:rPr>
          <w:rFonts w:ascii="Segoe UI" w:hAnsi="Segoe UI"/>
          <w:color w:val="auto"/>
          <w:lang w:val="id-ID"/>
        </w:rPr>
        <w:t xml:space="preserve"> </w:t>
      </w:r>
    </w:p>
    <w:p w14:paraId="753CBDC0"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Calibri"/>
          <w:sz w:val="26"/>
          <w:szCs w:val="26"/>
        </w:rPr>
        <w:t xml:space="preserve">Many experts provide theories about consciousness, including Carl G Jung and </w:t>
      </w:r>
      <w:proofErr w:type="spellStart"/>
      <w:r w:rsidRPr="00D31548">
        <w:rPr>
          <w:rFonts w:ascii="Garamond" w:hAnsi="Garamond" w:cs="Calibri"/>
          <w:sz w:val="26"/>
          <w:szCs w:val="26"/>
        </w:rPr>
        <w:t>Sigmeud</w:t>
      </w:r>
      <w:proofErr w:type="spellEnd"/>
      <w:r w:rsidRPr="00D31548">
        <w:rPr>
          <w:rFonts w:ascii="Garamond" w:hAnsi="Garamond" w:cs="Calibri"/>
          <w:sz w:val="26"/>
          <w:szCs w:val="26"/>
        </w:rPr>
        <w:t xml:space="preserve"> Freud. According to Carl G Jung, consciousness consists of three interconnected systems, namely the consciousness or ego, the personal </w:t>
      </w:r>
      <w:proofErr w:type="gramStart"/>
      <w:r w:rsidRPr="00D31548">
        <w:rPr>
          <w:rFonts w:ascii="Garamond" w:hAnsi="Garamond" w:cs="Calibri"/>
          <w:sz w:val="26"/>
          <w:szCs w:val="26"/>
        </w:rPr>
        <w:t>unconscious</w:t>
      </w:r>
      <w:proofErr w:type="gramEnd"/>
      <w:r w:rsidRPr="00D31548">
        <w:rPr>
          <w:rFonts w:ascii="Garamond" w:hAnsi="Garamond" w:cs="Calibri"/>
          <w:sz w:val="26"/>
          <w:szCs w:val="26"/>
        </w:rPr>
        <w:t xml:space="preserve"> and the collective unconscious. Meanwhile, according to </w:t>
      </w:r>
      <w:proofErr w:type="spellStart"/>
      <w:r w:rsidRPr="00D31548">
        <w:rPr>
          <w:rFonts w:ascii="Garamond" w:hAnsi="Garamond" w:cs="Calibri"/>
          <w:sz w:val="26"/>
          <w:szCs w:val="26"/>
        </w:rPr>
        <w:t>Sigmeud</w:t>
      </w:r>
      <w:proofErr w:type="spellEnd"/>
      <w:r w:rsidRPr="00D31548">
        <w:rPr>
          <w:rFonts w:ascii="Garamond" w:hAnsi="Garamond" w:cs="Calibri"/>
          <w:sz w:val="26"/>
          <w:szCs w:val="26"/>
        </w:rPr>
        <w:t xml:space="preserve"> Freud, consciousness consists of conscious thoughts and unconscious thoughts, both of which are triggered by motivation from within and outside the individual </w:t>
      </w:r>
      <w:sdt>
        <w:sdtPr>
          <w:rPr>
            <w:rFonts w:ascii="Garamond" w:hAnsi="Garamond" w:cstheme="majorBidi"/>
            <w:i/>
            <w:iCs/>
            <w:sz w:val="26"/>
            <w:szCs w:val="26"/>
          </w:rPr>
          <w:id w:val="1120953990"/>
          <w:citation/>
        </w:sdtPr>
        <w:sdtContent>
          <w:r w:rsidRPr="00D31548">
            <w:rPr>
              <w:rFonts w:ascii="Garamond" w:hAnsi="Garamond" w:cstheme="majorBidi"/>
              <w:i/>
              <w:iCs/>
              <w:sz w:val="26"/>
              <w:szCs w:val="26"/>
            </w:rPr>
            <w:fldChar w:fldCharType="begin"/>
          </w:r>
          <w:r w:rsidRPr="00D31548">
            <w:rPr>
              <w:rFonts w:ascii="Garamond" w:hAnsi="Garamond" w:cstheme="majorBidi"/>
              <w:i/>
              <w:iCs/>
              <w:sz w:val="26"/>
              <w:szCs w:val="26"/>
            </w:rPr>
            <w:instrText xml:space="preserve">CITATION Ism09 \t  \l 1033 </w:instrText>
          </w:r>
          <w:r w:rsidRPr="00D31548">
            <w:rPr>
              <w:rFonts w:ascii="Garamond" w:hAnsi="Garamond" w:cstheme="majorBidi"/>
              <w:i/>
              <w:iCs/>
              <w:sz w:val="26"/>
              <w:szCs w:val="26"/>
            </w:rPr>
            <w:fldChar w:fldCharType="separate"/>
          </w:r>
          <w:r w:rsidRPr="00D31548">
            <w:rPr>
              <w:rFonts w:ascii="Garamond" w:hAnsi="Garamond" w:cstheme="majorBidi"/>
              <w:noProof/>
              <w:sz w:val="26"/>
              <w:szCs w:val="26"/>
            </w:rPr>
            <w:t>(Ismail, 2009)</w:t>
          </w:r>
          <w:r w:rsidRPr="00D31548">
            <w:rPr>
              <w:rFonts w:ascii="Garamond" w:hAnsi="Garamond" w:cstheme="majorBidi"/>
              <w:i/>
              <w:iCs/>
              <w:sz w:val="26"/>
              <w:szCs w:val="26"/>
            </w:rPr>
            <w:fldChar w:fldCharType="end"/>
          </w:r>
        </w:sdtContent>
      </w:sdt>
      <w:r w:rsidRPr="00D31548">
        <w:rPr>
          <w:rFonts w:ascii="Garamond" w:hAnsi="Garamond" w:cstheme="majorBidi"/>
          <w:sz w:val="26"/>
          <w:szCs w:val="26"/>
        </w:rPr>
        <w:t xml:space="preserve">. </w:t>
      </w:r>
      <w:r w:rsidRPr="00D31548">
        <w:rPr>
          <w:rFonts w:ascii="Garamond" w:hAnsi="Garamond" w:cs="Calibri"/>
          <w:sz w:val="26"/>
          <w:szCs w:val="26"/>
        </w:rPr>
        <w:t xml:space="preserve">According to Paul B. Horton, the definition of society is a group of people who are relatively independent by living together for a long time, living in a certain area with the same culture, and most of the activities in that group </w:t>
      </w:r>
      <w:sdt>
        <w:sdtPr>
          <w:rPr>
            <w:rFonts w:ascii="Garamond" w:hAnsi="Garamond" w:cstheme="majorBidi"/>
            <w:sz w:val="26"/>
            <w:szCs w:val="26"/>
          </w:rPr>
          <w:id w:val="-408851907"/>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Mui13 \t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(Muin, 2013)</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36486297"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Calibri"/>
          <w:sz w:val="26"/>
          <w:szCs w:val="26"/>
        </w:rPr>
        <w:t xml:space="preserve">The implementation of education </w:t>
      </w:r>
      <w:proofErr w:type="gramStart"/>
      <w:r w:rsidRPr="00D31548">
        <w:rPr>
          <w:rFonts w:ascii="Garamond" w:hAnsi="Garamond" w:cs="Calibri"/>
          <w:sz w:val="26"/>
          <w:szCs w:val="26"/>
        </w:rPr>
        <w:t>in order to</w:t>
      </w:r>
      <w:proofErr w:type="gramEnd"/>
      <w:r w:rsidRPr="00D31548">
        <w:rPr>
          <w:rFonts w:ascii="Garamond" w:hAnsi="Garamond" w:cs="Calibri"/>
          <w:sz w:val="26"/>
          <w:szCs w:val="26"/>
        </w:rPr>
        <w:t xml:space="preserve"> improve public finances is very necessary because based on a survey conducted by the OJK in 2013, the level of financial literacy of the Indonesian population is divided into four parts, namely </w:t>
      </w:r>
      <w:sdt>
        <w:sdtPr>
          <w:rPr>
            <w:rFonts w:ascii="Garamond" w:hAnsi="Garamond" w:cs="Calibri"/>
            <w:sz w:val="26"/>
            <w:szCs w:val="26"/>
          </w:rPr>
          <w:id w:val="235517281"/>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 CITATION OJK13 \l 1033 </w:instrText>
          </w:r>
          <w:r w:rsidRPr="00D31548">
            <w:rPr>
              <w:rFonts w:ascii="Garamond" w:hAnsi="Garamond" w:cs="Calibri"/>
              <w:sz w:val="26"/>
              <w:szCs w:val="26"/>
            </w:rPr>
            <w:fldChar w:fldCharType="separate"/>
          </w:r>
          <w:r w:rsidRPr="00D31548">
            <w:rPr>
              <w:rFonts w:ascii="Garamond" w:hAnsi="Garamond" w:cs="Calibri"/>
              <w:noProof/>
              <w:sz w:val="26"/>
              <w:szCs w:val="26"/>
            </w:rPr>
            <w:t>(OJK, 2013)</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11FB0DCE" w14:textId="77777777" w:rsidR="00D31548" w:rsidRPr="00D31548" w:rsidRDefault="00D31548" w:rsidP="00D31548">
      <w:pPr>
        <w:pStyle w:val="ListParagraph"/>
        <w:numPr>
          <w:ilvl w:val="0"/>
          <w:numId w:val="8"/>
        </w:numPr>
        <w:spacing w:after="0"/>
        <w:ind w:left="284" w:hanging="284"/>
        <w:jc w:val="both"/>
        <w:rPr>
          <w:rFonts w:ascii="Garamond" w:hAnsi="Garamond" w:cs="Calibri"/>
          <w:sz w:val="26"/>
          <w:szCs w:val="26"/>
        </w:rPr>
      </w:pPr>
      <w:r w:rsidRPr="00D31548">
        <w:rPr>
          <w:rFonts w:ascii="Garamond" w:hAnsi="Garamond" w:cs="Calibri"/>
          <w:sz w:val="26"/>
          <w:szCs w:val="26"/>
        </w:rPr>
        <w:t>Well literate (21.84%), namely having knowledge and confidence about financial service institutions and financial service products, including features, benefits and risks, rights and obligations related to financial products and services, and having skills in using financial products and services.</w:t>
      </w:r>
    </w:p>
    <w:p w14:paraId="674D4E3B" w14:textId="77777777" w:rsidR="00D31548" w:rsidRPr="00D31548" w:rsidRDefault="00D31548" w:rsidP="00D31548">
      <w:pPr>
        <w:pStyle w:val="ListParagraph"/>
        <w:numPr>
          <w:ilvl w:val="0"/>
          <w:numId w:val="8"/>
        </w:numPr>
        <w:spacing w:after="0"/>
        <w:ind w:left="284" w:hanging="284"/>
        <w:jc w:val="both"/>
        <w:rPr>
          <w:rFonts w:ascii="Garamond" w:hAnsi="Garamond" w:cs="Calibri"/>
          <w:sz w:val="26"/>
          <w:szCs w:val="26"/>
        </w:rPr>
      </w:pPr>
      <w:r w:rsidRPr="00D31548">
        <w:rPr>
          <w:rFonts w:ascii="Garamond" w:hAnsi="Garamond" w:cs="Calibri"/>
          <w:sz w:val="26"/>
          <w:szCs w:val="26"/>
        </w:rPr>
        <w:t>Sufficient literate (75.69%), possessing knowledge and confidence about financial service institutions and financial products and services, including features, benefits and risks, rights and obligations related to financial products and services.</w:t>
      </w:r>
    </w:p>
    <w:p w14:paraId="1BBF28B1" w14:textId="77777777" w:rsidR="00D31548" w:rsidRPr="00D31548" w:rsidRDefault="00D31548" w:rsidP="00D31548">
      <w:pPr>
        <w:pStyle w:val="ListParagraph"/>
        <w:numPr>
          <w:ilvl w:val="0"/>
          <w:numId w:val="8"/>
        </w:numPr>
        <w:spacing w:after="0"/>
        <w:ind w:left="284" w:hanging="284"/>
        <w:jc w:val="both"/>
        <w:rPr>
          <w:rFonts w:ascii="Garamond" w:hAnsi="Garamond" w:cs="Calibri"/>
          <w:sz w:val="26"/>
          <w:szCs w:val="26"/>
        </w:rPr>
      </w:pPr>
      <w:proofErr w:type="gramStart"/>
      <w:r w:rsidRPr="00D31548">
        <w:rPr>
          <w:rFonts w:ascii="Garamond" w:hAnsi="Garamond" w:cs="Calibri"/>
          <w:sz w:val="26"/>
          <w:szCs w:val="26"/>
        </w:rPr>
        <w:t>Less literate (2.06%),</w:t>
      </w:r>
      <w:proofErr w:type="gramEnd"/>
      <w:r w:rsidRPr="00D31548">
        <w:rPr>
          <w:rFonts w:ascii="Garamond" w:hAnsi="Garamond" w:cs="Calibri"/>
          <w:sz w:val="26"/>
          <w:szCs w:val="26"/>
        </w:rPr>
        <w:t xml:space="preserve"> only have knowledge of financial service institutions, financial products and services.</w:t>
      </w:r>
    </w:p>
    <w:p w14:paraId="0F88E06D" w14:textId="77777777" w:rsidR="00D31548" w:rsidRPr="00D31548" w:rsidRDefault="00D31548" w:rsidP="00D31548">
      <w:pPr>
        <w:pStyle w:val="ListParagraph"/>
        <w:numPr>
          <w:ilvl w:val="0"/>
          <w:numId w:val="8"/>
        </w:numPr>
        <w:spacing w:after="0"/>
        <w:ind w:left="284" w:hanging="284"/>
        <w:jc w:val="both"/>
        <w:rPr>
          <w:rFonts w:ascii="Garamond" w:hAnsi="Garamond" w:cs="Calibri"/>
          <w:sz w:val="26"/>
          <w:szCs w:val="26"/>
        </w:rPr>
      </w:pPr>
      <w:r w:rsidRPr="00D31548">
        <w:rPr>
          <w:rFonts w:ascii="Garamond" w:hAnsi="Garamond" w:cs="Calibri"/>
          <w:sz w:val="26"/>
          <w:szCs w:val="26"/>
        </w:rPr>
        <w:t>Not literate (0.41%), do not have knowledge and confidence in financial service institutions and financial products and services, and do not have skills in using financial products and services.</w:t>
      </w:r>
    </w:p>
    <w:p w14:paraId="11166C13"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Financial literacy has long-term goals for all groups of society, namely </w:t>
      </w:r>
      <w:sdt>
        <w:sdtPr>
          <w:rPr>
            <w:rFonts w:ascii="Garamond" w:hAnsi="Garamond" w:cs="Calibri"/>
            <w:sz w:val="26"/>
            <w:szCs w:val="26"/>
          </w:rPr>
          <w:id w:val="1710227878"/>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 CITATION OJK16 \l 1033 </w:instrText>
          </w:r>
          <w:r w:rsidRPr="00D31548">
            <w:rPr>
              <w:rFonts w:ascii="Garamond" w:hAnsi="Garamond" w:cs="Calibri"/>
              <w:sz w:val="26"/>
              <w:szCs w:val="26"/>
            </w:rPr>
            <w:fldChar w:fldCharType="separate"/>
          </w:r>
          <w:r w:rsidRPr="00D31548">
            <w:rPr>
              <w:rFonts w:ascii="Garamond" w:hAnsi="Garamond" w:cs="Calibri"/>
              <w:noProof/>
              <w:sz w:val="26"/>
              <w:szCs w:val="26"/>
            </w:rPr>
            <w:t>(OJK, 2016)</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243CCA67" w14:textId="77777777" w:rsidR="00D31548" w:rsidRPr="00D31548" w:rsidRDefault="00D31548" w:rsidP="00D31548">
      <w:pPr>
        <w:pStyle w:val="ListParagraph"/>
        <w:numPr>
          <w:ilvl w:val="0"/>
          <w:numId w:val="9"/>
        </w:numPr>
        <w:spacing w:after="0"/>
        <w:ind w:left="284" w:hanging="284"/>
        <w:jc w:val="both"/>
        <w:rPr>
          <w:rFonts w:ascii="Garamond" w:hAnsi="Garamond" w:cs="Calibri"/>
          <w:sz w:val="26"/>
          <w:szCs w:val="26"/>
        </w:rPr>
      </w:pPr>
      <w:r w:rsidRPr="00D31548">
        <w:rPr>
          <w:rFonts w:ascii="Garamond" w:hAnsi="Garamond" w:cs="Calibri"/>
          <w:sz w:val="26"/>
          <w:szCs w:val="26"/>
        </w:rPr>
        <w:t>Increase the literacy of someone who was previously less literate or not literate to become well literate.</w:t>
      </w:r>
    </w:p>
    <w:p w14:paraId="4B2D9F6B" w14:textId="77777777" w:rsidR="00D31548" w:rsidRPr="00D31548" w:rsidRDefault="00D31548" w:rsidP="00D31548">
      <w:pPr>
        <w:pStyle w:val="ListParagraph"/>
        <w:numPr>
          <w:ilvl w:val="0"/>
          <w:numId w:val="9"/>
        </w:numPr>
        <w:spacing w:after="0"/>
        <w:ind w:left="284" w:hanging="284"/>
        <w:jc w:val="both"/>
        <w:rPr>
          <w:rFonts w:ascii="Garamond" w:hAnsi="Garamond" w:cs="Calibri"/>
          <w:sz w:val="26"/>
          <w:szCs w:val="26"/>
        </w:rPr>
      </w:pPr>
      <w:r w:rsidRPr="00D31548">
        <w:rPr>
          <w:rFonts w:ascii="Garamond" w:hAnsi="Garamond" w:cs="Calibri"/>
          <w:sz w:val="26"/>
          <w:szCs w:val="26"/>
        </w:rPr>
        <w:t>Increase the number of users of financial products and services.</w:t>
      </w:r>
    </w:p>
    <w:p w14:paraId="3049A915" w14:textId="77777777" w:rsidR="00D31548" w:rsidRPr="00D31548" w:rsidRDefault="00D31548" w:rsidP="00D31548">
      <w:pPr>
        <w:spacing w:line="276" w:lineRule="auto"/>
        <w:ind w:firstLine="709"/>
        <w:jc w:val="both"/>
        <w:rPr>
          <w:rFonts w:ascii="Garamond" w:hAnsi="Garamond" w:cs="Calibri"/>
          <w:sz w:val="26"/>
          <w:szCs w:val="26"/>
        </w:rPr>
      </w:pPr>
      <w:proofErr w:type="gramStart"/>
      <w:r w:rsidRPr="00D31548">
        <w:rPr>
          <w:rFonts w:ascii="Garamond" w:hAnsi="Garamond" w:cs="Calibri"/>
          <w:sz w:val="26"/>
          <w:szCs w:val="26"/>
        </w:rPr>
        <w:t>In order for</w:t>
      </w:r>
      <w:proofErr w:type="gramEnd"/>
      <w:r w:rsidRPr="00D31548">
        <w:rPr>
          <w:rFonts w:ascii="Garamond" w:hAnsi="Garamond" w:cs="Calibri"/>
          <w:sz w:val="26"/>
          <w:szCs w:val="26"/>
        </w:rPr>
        <w:t xml:space="preserve"> the wider community to determine financial products and services according to their needs, the community must properly understand the benefits and risks, know their rights and obligations, and believe that the selected financial products and </w:t>
      </w:r>
      <w:r w:rsidRPr="00D31548">
        <w:rPr>
          <w:rFonts w:ascii="Garamond" w:hAnsi="Garamond" w:cs="Calibri"/>
          <w:sz w:val="26"/>
          <w:szCs w:val="26"/>
        </w:rPr>
        <w:lastRenderedPageBreak/>
        <w:t xml:space="preserve">services can improve people's welfare. For the community, financial literacy provides great benefits </w:t>
      </w:r>
      <w:sdt>
        <w:sdtPr>
          <w:rPr>
            <w:rFonts w:ascii="Garamond" w:hAnsi="Garamond" w:cs="Calibri"/>
            <w:sz w:val="26"/>
            <w:szCs w:val="26"/>
          </w:rPr>
          <w:id w:val="-1803987348"/>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 CITATION OJK16 \l 1033 </w:instrText>
          </w:r>
          <w:r w:rsidRPr="00D31548">
            <w:rPr>
              <w:rFonts w:ascii="Garamond" w:hAnsi="Garamond" w:cs="Calibri"/>
              <w:sz w:val="26"/>
              <w:szCs w:val="26"/>
            </w:rPr>
            <w:fldChar w:fldCharType="separate"/>
          </w:r>
          <w:r w:rsidRPr="00D31548">
            <w:rPr>
              <w:rFonts w:ascii="Garamond" w:hAnsi="Garamond" w:cs="Calibri"/>
              <w:noProof/>
              <w:sz w:val="26"/>
              <w:szCs w:val="26"/>
            </w:rPr>
            <w:t>(OJK, 2016)</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14E862F9" w14:textId="77777777" w:rsidR="00D31548" w:rsidRPr="00D31548" w:rsidRDefault="00D31548" w:rsidP="00D31548">
      <w:pPr>
        <w:pStyle w:val="ListParagraph"/>
        <w:numPr>
          <w:ilvl w:val="0"/>
          <w:numId w:val="10"/>
        </w:numPr>
        <w:spacing w:after="0"/>
        <w:ind w:left="284" w:hanging="284"/>
        <w:jc w:val="both"/>
        <w:rPr>
          <w:rFonts w:ascii="Garamond" w:hAnsi="Garamond" w:cs="Calibri"/>
          <w:sz w:val="26"/>
          <w:szCs w:val="26"/>
        </w:rPr>
      </w:pPr>
      <w:r w:rsidRPr="00D31548">
        <w:rPr>
          <w:rFonts w:ascii="Garamond" w:hAnsi="Garamond" w:cs="Calibri"/>
          <w:sz w:val="26"/>
          <w:szCs w:val="26"/>
        </w:rPr>
        <w:t xml:space="preserve">Able to select and utilize financial products and services as needed; have the ability to do financial planning </w:t>
      </w:r>
      <w:proofErr w:type="gramStart"/>
      <w:r w:rsidRPr="00D31548">
        <w:rPr>
          <w:rFonts w:ascii="Garamond" w:hAnsi="Garamond" w:cs="Calibri"/>
          <w:sz w:val="26"/>
          <w:szCs w:val="26"/>
        </w:rPr>
        <w:t>better;</w:t>
      </w:r>
      <w:proofErr w:type="gramEnd"/>
    </w:p>
    <w:p w14:paraId="3229A3DA" w14:textId="77777777" w:rsidR="00D31548" w:rsidRPr="00D31548" w:rsidRDefault="00D31548" w:rsidP="00D31548">
      <w:pPr>
        <w:pStyle w:val="ListParagraph"/>
        <w:numPr>
          <w:ilvl w:val="0"/>
          <w:numId w:val="10"/>
        </w:numPr>
        <w:spacing w:after="0"/>
        <w:ind w:left="284" w:hanging="284"/>
        <w:jc w:val="both"/>
        <w:rPr>
          <w:rFonts w:ascii="Garamond" w:hAnsi="Garamond" w:cs="Calibri"/>
          <w:sz w:val="26"/>
          <w:szCs w:val="26"/>
        </w:rPr>
      </w:pPr>
      <w:r w:rsidRPr="00D31548">
        <w:rPr>
          <w:rFonts w:ascii="Garamond" w:hAnsi="Garamond" w:cs="Calibri"/>
          <w:sz w:val="26"/>
          <w:szCs w:val="26"/>
        </w:rPr>
        <w:t>Avoid investing activities in unclear financial instruments.</w:t>
      </w:r>
    </w:p>
    <w:p w14:paraId="027FC149"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Financial literacy also provides great benefits for the financial services sector. Financial institutions and the public need each other so that the higher the level of public financial literacy, the more people will take advantage of financial products and services </w:t>
      </w:r>
      <w:sdt>
        <w:sdtPr>
          <w:rPr>
            <w:rFonts w:ascii="Garamond" w:hAnsi="Garamond" w:cs="Calibri"/>
            <w:sz w:val="26"/>
            <w:szCs w:val="26"/>
          </w:rPr>
          <w:id w:val="924387906"/>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 CITATION OJK18 \l 1033 </w:instrText>
          </w:r>
          <w:r w:rsidRPr="00D31548">
            <w:rPr>
              <w:rFonts w:ascii="Garamond" w:hAnsi="Garamond" w:cs="Calibri"/>
              <w:sz w:val="26"/>
              <w:szCs w:val="26"/>
            </w:rPr>
            <w:fldChar w:fldCharType="separate"/>
          </w:r>
          <w:r w:rsidRPr="00D31548">
            <w:rPr>
              <w:rFonts w:ascii="Garamond" w:hAnsi="Garamond" w:cs="Calibri"/>
              <w:noProof/>
              <w:sz w:val="26"/>
              <w:szCs w:val="26"/>
            </w:rPr>
            <w:t>(OJK)</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7A26ADE3"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A person can be said to be “literate” in Islamic finance if he/ she knows Islamic financial products and services, is able to distinguish between Islamic banks and conventional banks and is able to control himself in making economic decisions according to sharia. Believing in Divine teachings, without usury, without haram investments, without </w:t>
      </w:r>
      <w:proofErr w:type="spellStart"/>
      <w:r w:rsidRPr="00D31548">
        <w:rPr>
          <w:rFonts w:ascii="Garamond" w:hAnsi="Garamond" w:cs="Calibri"/>
          <w:i/>
          <w:iCs/>
          <w:sz w:val="26"/>
          <w:szCs w:val="26"/>
        </w:rPr>
        <w:t>gharar</w:t>
      </w:r>
      <w:proofErr w:type="spellEnd"/>
      <w:r w:rsidRPr="00D31548">
        <w:rPr>
          <w:rFonts w:ascii="Garamond" w:hAnsi="Garamond" w:cs="Calibri"/>
          <w:sz w:val="26"/>
          <w:szCs w:val="26"/>
        </w:rPr>
        <w:t xml:space="preserve"> (uncertainty), without </w:t>
      </w:r>
      <w:proofErr w:type="spellStart"/>
      <w:r w:rsidRPr="00D31548">
        <w:rPr>
          <w:rFonts w:ascii="Garamond" w:hAnsi="Garamond" w:cs="Calibri"/>
          <w:i/>
          <w:iCs/>
          <w:sz w:val="26"/>
          <w:szCs w:val="26"/>
        </w:rPr>
        <w:t>maysir</w:t>
      </w:r>
      <w:proofErr w:type="spellEnd"/>
      <w:r w:rsidRPr="00D31548">
        <w:rPr>
          <w:rFonts w:ascii="Garamond" w:hAnsi="Garamond" w:cs="Calibri"/>
          <w:sz w:val="26"/>
          <w:szCs w:val="26"/>
        </w:rPr>
        <w:t xml:space="preserve"> (gambling/ speculation), all risks and financing based on real assets are the key principles of Islamic finance </w:t>
      </w:r>
      <w:sdt>
        <w:sdtPr>
          <w:rPr>
            <w:rFonts w:ascii="Garamond" w:hAnsi="Garamond" w:cs="Calibri"/>
            <w:sz w:val="26"/>
            <w:szCs w:val="26"/>
          </w:rPr>
          <w:id w:val="-2042433918"/>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 CITATION Abd12 \l 1033 </w:instrText>
          </w:r>
          <w:r w:rsidRPr="00D31548">
            <w:rPr>
              <w:rFonts w:ascii="Garamond" w:hAnsi="Garamond" w:cs="Calibri"/>
              <w:sz w:val="26"/>
              <w:szCs w:val="26"/>
            </w:rPr>
            <w:fldChar w:fldCharType="separate"/>
          </w:r>
          <w:r w:rsidRPr="00D31548">
            <w:rPr>
              <w:rFonts w:ascii="Garamond" w:hAnsi="Garamond" w:cs="Calibri"/>
              <w:noProof/>
              <w:sz w:val="26"/>
              <w:szCs w:val="26"/>
            </w:rPr>
            <w:t>(Abdullah, 2012)</w:t>
          </w:r>
          <w:r w:rsidRPr="00D31548">
            <w:rPr>
              <w:rFonts w:ascii="Garamond" w:hAnsi="Garamond" w:cs="Calibri"/>
              <w:sz w:val="26"/>
              <w:szCs w:val="26"/>
            </w:rPr>
            <w:fldChar w:fldCharType="end"/>
          </w:r>
        </w:sdtContent>
      </w:sdt>
      <w:r w:rsidRPr="00D31548">
        <w:rPr>
          <w:rFonts w:ascii="Garamond" w:hAnsi="Garamond" w:cs="Calibri"/>
          <w:sz w:val="26"/>
          <w:szCs w:val="26"/>
        </w:rPr>
        <w:t xml:space="preserve">. As stated by Mohamad Azmi Abdullah </w:t>
      </w:r>
      <w:sdt>
        <w:sdtPr>
          <w:rPr>
            <w:rFonts w:ascii="Garamond" w:hAnsi="Garamond" w:cs="Calibri"/>
            <w:sz w:val="26"/>
            <w:szCs w:val="26"/>
          </w:rPr>
          <w:id w:val="-349492408"/>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CITATION Abd17 \n  \t  \l 1033 </w:instrText>
          </w:r>
          <w:r w:rsidRPr="00D31548">
            <w:rPr>
              <w:rFonts w:ascii="Garamond" w:hAnsi="Garamond" w:cs="Calibri"/>
              <w:sz w:val="26"/>
              <w:szCs w:val="26"/>
            </w:rPr>
            <w:fldChar w:fldCharType="separate"/>
          </w:r>
          <w:r w:rsidRPr="00D31548">
            <w:rPr>
              <w:rFonts w:ascii="Garamond" w:hAnsi="Garamond" w:cs="Calibri"/>
              <w:noProof/>
              <w:sz w:val="26"/>
              <w:szCs w:val="26"/>
            </w:rPr>
            <w:t>(2017)</w:t>
          </w:r>
          <w:r w:rsidRPr="00D31548">
            <w:rPr>
              <w:rFonts w:ascii="Garamond" w:hAnsi="Garamond" w:cs="Calibri"/>
              <w:sz w:val="26"/>
              <w:szCs w:val="26"/>
            </w:rPr>
            <w:fldChar w:fldCharType="end"/>
          </w:r>
        </w:sdtContent>
      </w:sdt>
      <w:r w:rsidRPr="00D31548">
        <w:rPr>
          <w:rFonts w:ascii="Garamond" w:hAnsi="Garamond" w:cs="Calibri"/>
          <w:sz w:val="26"/>
          <w:szCs w:val="26"/>
        </w:rPr>
        <w:t xml:space="preserve"> regarding Islamic financial literacy, </w:t>
      </w:r>
      <w:r w:rsidRPr="00D31548">
        <w:rPr>
          <w:rFonts w:ascii="Garamond" w:hAnsi="Garamond" w:cs="Calibri"/>
          <w:i/>
          <w:iCs/>
          <w:sz w:val="26"/>
          <w:szCs w:val="26"/>
        </w:rPr>
        <w:t>"Islamic financial literacy can be defined as the ability to understand finance based on sharia compliance. This should be an issue of concern to Muslim students. Muslims must seek to understand Islamic finance because it is a religious duty. Using the conventional financial system is certainly sinful for Muslims."</w:t>
      </w:r>
      <w:r w:rsidRPr="00D31548">
        <w:rPr>
          <w:rFonts w:ascii="Garamond" w:hAnsi="Garamond" w:cs="Calibri"/>
          <w:sz w:val="26"/>
          <w:szCs w:val="26"/>
        </w:rPr>
        <w:t xml:space="preserve"> This means that the ability regarding Islamic financial literacy is the obligation of every Muslim because of religious obligations that must be obeyed.</w:t>
      </w:r>
    </w:p>
    <w:p w14:paraId="38E9C94A"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There are four aspects to financial literacy, namely </w:t>
      </w:r>
      <w:sdt>
        <w:sdtPr>
          <w:rPr>
            <w:rFonts w:ascii="Garamond" w:hAnsi="Garamond" w:cs="Calibri"/>
            <w:sz w:val="26"/>
            <w:szCs w:val="26"/>
          </w:rPr>
          <w:id w:val="1185632078"/>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CITATION Hai98 \t  \l 1033 </w:instrText>
          </w:r>
          <w:r w:rsidRPr="00D31548">
            <w:rPr>
              <w:rFonts w:ascii="Garamond" w:hAnsi="Garamond" w:cs="Calibri"/>
              <w:sz w:val="26"/>
              <w:szCs w:val="26"/>
            </w:rPr>
            <w:fldChar w:fldCharType="separate"/>
          </w:r>
          <w:r w:rsidRPr="00D31548">
            <w:rPr>
              <w:rFonts w:ascii="Garamond" w:hAnsi="Garamond" w:cs="Calibri"/>
              <w:noProof/>
              <w:sz w:val="26"/>
              <w:szCs w:val="26"/>
            </w:rPr>
            <w:t>(An Analysis of Personal Financial Literacy Among College Students, 1998)</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7BDBF4F8" w14:textId="77777777" w:rsidR="00D31548" w:rsidRPr="00D31548" w:rsidRDefault="00D31548" w:rsidP="00D31548">
      <w:pPr>
        <w:pStyle w:val="ListParagraph"/>
        <w:numPr>
          <w:ilvl w:val="0"/>
          <w:numId w:val="11"/>
        </w:numPr>
        <w:spacing w:after="0"/>
        <w:ind w:left="284" w:hanging="284"/>
        <w:jc w:val="both"/>
        <w:rPr>
          <w:rFonts w:ascii="Garamond" w:hAnsi="Garamond" w:cs="Calibri"/>
          <w:sz w:val="26"/>
          <w:szCs w:val="26"/>
        </w:rPr>
      </w:pPr>
      <w:r w:rsidRPr="00D31548">
        <w:rPr>
          <w:rFonts w:ascii="Garamond" w:hAnsi="Garamond" w:cs="Calibri"/>
          <w:sz w:val="26"/>
          <w:szCs w:val="26"/>
        </w:rPr>
        <w:t>General personal finance knowledge.</w:t>
      </w:r>
    </w:p>
    <w:p w14:paraId="4051CD2C" w14:textId="77777777" w:rsidR="00D31548" w:rsidRPr="00D31548" w:rsidRDefault="00D31548" w:rsidP="00D31548">
      <w:pPr>
        <w:pStyle w:val="ListParagraph"/>
        <w:numPr>
          <w:ilvl w:val="0"/>
          <w:numId w:val="11"/>
        </w:numPr>
        <w:spacing w:after="0"/>
        <w:ind w:left="284" w:hanging="284"/>
        <w:jc w:val="both"/>
        <w:rPr>
          <w:rFonts w:ascii="Garamond" w:hAnsi="Garamond" w:cs="Calibri"/>
          <w:sz w:val="26"/>
          <w:szCs w:val="26"/>
        </w:rPr>
      </w:pPr>
      <w:r w:rsidRPr="00D31548">
        <w:rPr>
          <w:rFonts w:ascii="Garamond" w:hAnsi="Garamond" w:cs="Calibri"/>
          <w:sz w:val="26"/>
          <w:szCs w:val="26"/>
        </w:rPr>
        <w:t>Savings and borrowings), such as use of credit cards.</w:t>
      </w:r>
    </w:p>
    <w:p w14:paraId="1D38ED39" w14:textId="77777777" w:rsidR="00D31548" w:rsidRPr="00D31548" w:rsidRDefault="00D31548" w:rsidP="00D31548">
      <w:pPr>
        <w:pStyle w:val="ListParagraph"/>
        <w:numPr>
          <w:ilvl w:val="0"/>
          <w:numId w:val="11"/>
        </w:numPr>
        <w:spacing w:after="0"/>
        <w:ind w:left="284" w:hanging="284"/>
        <w:jc w:val="both"/>
        <w:rPr>
          <w:rFonts w:ascii="Garamond" w:hAnsi="Garamond" w:cs="Calibri"/>
          <w:sz w:val="26"/>
          <w:szCs w:val="26"/>
        </w:rPr>
      </w:pPr>
      <w:r w:rsidRPr="00D31548">
        <w:rPr>
          <w:rFonts w:ascii="Garamond" w:hAnsi="Garamond" w:cs="Calibri"/>
          <w:sz w:val="26"/>
          <w:szCs w:val="26"/>
        </w:rPr>
        <w:t>Insurance such as life insurance and motor vehicle insurance.</w:t>
      </w:r>
    </w:p>
    <w:p w14:paraId="2BF16E30" w14:textId="77777777" w:rsidR="00D31548" w:rsidRPr="00D31548" w:rsidRDefault="00D31548" w:rsidP="00D31548">
      <w:pPr>
        <w:pStyle w:val="ListParagraph"/>
        <w:numPr>
          <w:ilvl w:val="0"/>
          <w:numId w:val="11"/>
        </w:numPr>
        <w:spacing w:after="0"/>
        <w:ind w:left="284" w:hanging="284"/>
        <w:jc w:val="both"/>
        <w:rPr>
          <w:rFonts w:ascii="Garamond" w:hAnsi="Garamond" w:cs="Calibri"/>
          <w:sz w:val="26"/>
          <w:szCs w:val="26"/>
        </w:rPr>
      </w:pPr>
      <w:r w:rsidRPr="00D31548">
        <w:rPr>
          <w:rFonts w:ascii="Garamond" w:hAnsi="Garamond" w:cs="Calibri"/>
          <w:sz w:val="26"/>
          <w:szCs w:val="26"/>
        </w:rPr>
        <w:t xml:space="preserve">Investment, knowledge of market interest rates, mutual </w:t>
      </w:r>
      <w:proofErr w:type="gramStart"/>
      <w:r w:rsidRPr="00D31548">
        <w:rPr>
          <w:rFonts w:ascii="Garamond" w:hAnsi="Garamond" w:cs="Calibri"/>
          <w:sz w:val="26"/>
          <w:szCs w:val="26"/>
        </w:rPr>
        <w:t>funds</w:t>
      </w:r>
      <w:proofErr w:type="gramEnd"/>
      <w:r w:rsidRPr="00D31548">
        <w:rPr>
          <w:rFonts w:ascii="Garamond" w:hAnsi="Garamond" w:cs="Calibri"/>
          <w:sz w:val="26"/>
          <w:szCs w:val="26"/>
        </w:rPr>
        <w:t xml:space="preserve"> and investment risks.</w:t>
      </w:r>
    </w:p>
    <w:p w14:paraId="681CF00A"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According to Alexander Robbins and Abby </w:t>
      </w:r>
      <w:proofErr w:type="spellStart"/>
      <w:r w:rsidRPr="00D31548">
        <w:rPr>
          <w:rFonts w:ascii="Garamond" w:hAnsi="Garamond" w:cs="Calibri"/>
          <w:sz w:val="26"/>
          <w:szCs w:val="26"/>
        </w:rPr>
        <w:t>Wilner</w:t>
      </w:r>
      <w:proofErr w:type="spellEnd"/>
      <w:r w:rsidRPr="00D31548">
        <w:rPr>
          <w:rFonts w:ascii="Garamond" w:hAnsi="Garamond" w:cs="Calibri"/>
          <w:sz w:val="26"/>
          <w:szCs w:val="26"/>
        </w:rPr>
        <w:t xml:space="preserve"> in the book Quarterlife Crisis: The Unique Challenge of Life in Your Twenties, said that the </w:t>
      </w:r>
      <w:proofErr w:type="spellStart"/>
      <w:r w:rsidRPr="00D31548">
        <w:rPr>
          <w:rFonts w:ascii="Garamond" w:hAnsi="Garamond" w:cs="Calibri"/>
          <w:sz w:val="26"/>
          <w:szCs w:val="26"/>
        </w:rPr>
        <w:t>quartelife</w:t>
      </w:r>
      <w:proofErr w:type="spellEnd"/>
      <w:r w:rsidRPr="00D31548">
        <w:rPr>
          <w:rFonts w:ascii="Garamond" w:hAnsi="Garamond" w:cs="Calibri"/>
          <w:sz w:val="26"/>
          <w:szCs w:val="26"/>
        </w:rPr>
        <w:t xml:space="preserve"> phase or quarterlife crisis is basically a period of anxiety and uncertainty that often accompanies the transition to adulthood </w:t>
      </w:r>
      <w:sdt>
        <w:sdtPr>
          <w:rPr>
            <w:rFonts w:ascii="Garamond" w:hAnsi="Garamond" w:cs="Calibri"/>
            <w:sz w:val="26"/>
            <w:szCs w:val="26"/>
          </w:rPr>
          <w:id w:val="1559775"/>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CITATION Rob01 \n  \l 1033 </w:instrText>
          </w:r>
          <w:r w:rsidRPr="00D31548">
            <w:rPr>
              <w:rFonts w:ascii="Garamond" w:hAnsi="Garamond" w:cs="Calibri"/>
              <w:sz w:val="26"/>
              <w:szCs w:val="26"/>
            </w:rPr>
            <w:fldChar w:fldCharType="separate"/>
          </w:r>
          <w:r w:rsidRPr="00D31548">
            <w:rPr>
              <w:rFonts w:ascii="Garamond" w:hAnsi="Garamond" w:cs="Calibri"/>
              <w:noProof/>
              <w:sz w:val="26"/>
              <w:szCs w:val="26"/>
            </w:rPr>
            <w:t>(2001)</w:t>
          </w:r>
          <w:r w:rsidRPr="00D31548">
            <w:rPr>
              <w:rFonts w:ascii="Garamond" w:hAnsi="Garamond" w:cs="Calibri"/>
              <w:sz w:val="26"/>
              <w:szCs w:val="26"/>
            </w:rPr>
            <w:fldChar w:fldCharType="end"/>
          </w:r>
        </w:sdtContent>
      </w:sdt>
      <w:r w:rsidRPr="00D31548">
        <w:rPr>
          <w:rFonts w:ascii="Garamond" w:hAnsi="Garamond" w:cs="Calibri"/>
          <w:sz w:val="26"/>
          <w:szCs w:val="26"/>
        </w:rPr>
        <w:t xml:space="preserve">. Quarterlife is a phenomenon experienced by many young adults in their 20s and early 30s. It is also a response to tremendous instability, constant change, too many choices, a sense of helplessness, and panic </w:t>
      </w:r>
      <w:sdt>
        <w:sdtPr>
          <w:rPr>
            <w:rFonts w:ascii="Garamond" w:hAnsi="Garamond" w:cs="Calibri"/>
            <w:sz w:val="26"/>
            <w:szCs w:val="26"/>
          </w:rPr>
          <w:id w:val="-1001500192"/>
          <w:citation/>
        </w:sdtPr>
        <w:sdtContent>
          <w:r w:rsidRPr="00D31548">
            <w:rPr>
              <w:rFonts w:ascii="Garamond" w:hAnsi="Garamond" w:cs="Calibri"/>
              <w:sz w:val="26"/>
              <w:szCs w:val="26"/>
            </w:rPr>
            <w:fldChar w:fldCharType="begin"/>
          </w:r>
          <w:r w:rsidRPr="00D31548">
            <w:rPr>
              <w:rFonts w:ascii="Garamond" w:hAnsi="Garamond" w:cs="Calibri"/>
              <w:sz w:val="26"/>
              <w:szCs w:val="26"/>
            </w:rPr>
            <w:instrText xml:space="preserve">CITATION MTh05 \t  \l 1033 </w:instrText>
          </w:r>
          <w:r w:rsidRPr="00D31548">
            <w:rPr>
              <w:rFonts w:ascii="Garamond" w:hAnsi="Garamond" w:cs="Calibri"/>
              <w:sz w:val="26"/>
              <w:szCs w:val="26"/>
            </w:rPr>
            <w:fldChar w:fldCharType="separate"/>
          </w:r>
          <w:r w:rsidRPr="00D31548">
            <w:rPr>
              <w:rFonts w:ascii="Garamond" w:hAnsi="Garamond" w:cs="Calibri"/>
              <w:noProof/>
              <w:sz w:val="26"/>
              <w:szCs w:val="26"/>
            </w:rPr>
            <w:t>(Quarterlife Crisis: Then Unaddressed Phenomenon, 2005)</w:t>
          </w:r>
          <w:r w:rsidRPr="00D31548">
            <w:rPr>
              <w:rFonts w:ascii="Garamond" w:hAnsi="Garamond" w:cs="Calibri"/>
              <w:sz w:val="26"/>
              <w:szCs w:val="26"/>
            </w:rPr>
            <w:fldChar w:fldCharType="end"/>
          </w:r>
        </w:sdtContent>
      </w:sdt>
      <w:r w:rsidRPr="00D31548">
        <w:rPr>
          <w:rFonts w:ascii="Garamond" w:hAnsi="Garamond" w:cs="Calibri"/>
          <w:sz w:val="26"/>
          <w:szCs w:val="26"/>
        </w:rPr>
        <w:t>.</w:t>
      </w:r>
    </w:p>
    <w:p w14:paraId="3931B036"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t xml:space="preserve">A quarterlife crisis can occur for a variety of reasons, such as identity confusion, frustration with a relationship, the world of work, finding a suitable job or career, insecurity about the future, disappointment over something, pressure from family and peers and so on </w:t>
      </w:r>
      <w:r w:rsidRPr="00D31548">
        <w:rPr>
          <w:rFonts w:ascii="Garamond" w:hAnsi="Garamond" w:cs="Calibri"/>
          <w:noProof/>
          <w:sz w:val="26"/>
          <w:szCs w:val="26"/>
        </w:rPr>
        <w:t>(2013)</w:t>
      </w:r>
      <w:r w:rsidRPr="00D31548">
        <w:rPr>
          <w:rFonts w:ascii="Garamond" w:hAnsi="Garamond" w:cs="Calibri"/>
          <w:sz w:val="26"/>
          <w:szCs w:val="26"/>
        </w:rPr>
        <w:t xml:space="preserve">. </w:t>
      </w:r>
    </w:p>
    <w:p w14:paraId="4241D5C5" w14:textId="77777777" w:rsidR="00D31548" w:rsidRPr="00D31548" w:rsidRDefault="00D31548" w:rsidP="00D31548">
      <w:pPr>
        <w:spacing w:line="276" w:lineRule="auto"/>
        <w:ind w:firstLine="709"/>
        <w:jc w:val="both"/>
        <w:rPr>
          <w:rFonts w:ascii="Garamond" w:hAnsi="Garamond" w:cs="Calibri"/>
          <w:sz w:val="26"/>
          <w:szCs w:val="26"/>
        </w:rPr>
      </w:pPr>
      <w:r w:rsidRPr="00D31548">
        <w:rPr>
          <w:rFonts w:ascii="Garamond" w:hAnsi="Garamond" w:cs="Calibri"/>
          <w:sz w:val="26"/>
          <w:szCs w:val="26"/>
        </w:rPr>
        <w:lastRenderedPageBreak/>
        <w:t xml:space="preserve">Robinson said there were four phases that individuals went through in the quarterlife crisis, “The four levels of analysis are: person in environment, identity, motivation, and affect-cognition. The person in environment level considers the systemic changes in physical locations, relationships, and work commitments. Identity focuses on changes in a person's subjective sense of personhood, while the motivation level focuses on how a person describes their orientation towards goals, </w:t>
      </w:r>
      <w:proofErr w:type="gramStart"/>
      <w:r w:rsidRPr="00D31548">
        <w:rPr>
          <w:rFonts w:ascii="Garamond" w:hAnsi="Garamond" w:cs="Calibri"/>
          <w:sz w:val="26"/>
          <w:szCs w:val="26"/>
        </w:rPr>
        <w:t>values</w:t>
      </w:r>
      <w:proofErr w:type="gramEnd"/>
      <w:r w:rsidRPr="00D31548">
        <w:rPr>
          <w:rFonts w:ascii="Garamond" w:hAnsi="Garamond" w:cs="Calibri"/>
          <w:sz w:val="26"/>
          <w:szCs w:val="26"/>
        </w:rPr>
        <w:t xml:space="preserve"> and action. Affect-cognition describes the dominant affective and ruminative quality of a particular stage."</w:t>
      </w:r>
    </w:p>
    <w:p w14:paraId="56F72DA5" w14:textId="639EEB35" w:rsidR="00D31548" w:rsidRPr="00D31548" w:rsidRDefault="00D31548" w:rsidP="00D31548">
      <w:pPr>
        <w:spacing w:line="276" w:lineRule="auto"/>
        <w:ind w:firstLine="709"/>
        <w:jc w:val="both"/>
        <w:rPr>
          <w:rFonts w:ascii="Garamond" w:hAnsi="Garamond" w:cstheme="majorBidi"/>
          <w:sz w:val="26"/>
          <w:szCs w:val="26"/>
        </w:rPr>
      </w:pPr>
      <w:r w:rsidRPr="00D31548">
        <w:rPr>
          <w:rFonts w:ascii="Garamond" w:hAnsi="Garamond" w:cstheme="majorBidi"/>
          <w:sz w:val="26"/>
          <w:szCs w:val="26"/>
        </w:rPr>
        <w:t>From previous research, the writer makes a distinction between research related to the research that the author is doing. Among these are:</w:t>
      </w:r>
    </w:p>
    <w:p w14:paraId="58673ECE" w14:textId="77777777" w:rsidR="00D31548" w:rsidRPr="00D31548" w:rsidRDefault="00D31548" w:rsidP="00D31548">
      <w:pPr>
        <w:spacing w:line="276" w:lineRule="auto"/>
        <w:ind w:firstLine="709"/>
        <w:jc w:val="both"/>
        <w:rPr>
          <w:rFonts w:ascii="Garamond" w:hAnsi="Garamond" w:cstheme="majorBidi"/>
          <w:sz w:val="26"/>
          <w:szCs w:val="26"/>
        </w:rPr>
      </w:pPr>
      <w:r w:rsidRPr="00D31548">
        <w:rPr>
          <w:rFonts w:ascii="Garamond" w:hAnsi="Garamond" w:cstheme="majorBidi"/>
          <w:sz w:val="26"/>
          <w:szCs w:val="26"/>
        </w:rPr>
        <w:t xml:space="preserve">Research conducted by Bharat Singh Thapa and Raj Surendra Nepal with the title "Financial Literacy in Nepal: Survey Analysis from Higher Education" shows that most students have a level of basic financial </w:t>
      </w:r>
      <w:proofErr w:type="gramStart"/>
      <w:r w:rsidRPr="00D31548">
        <w:rPr>
          <w:rFonts w:ascii="Garamond" w:hAnsi="Garamond" w:cstheme="majorBidi"/>
          <w:sz w:val="26"/>
          <w:szCs w:val="26"/>
        </w:rPr>
        <w:t>knowledge</w:t>
      </w:r>
      <w:proofErr w:type="gramEnd"/>
      <w:r w:rsidRPr="00D31548">
        <w:rPr>
          <w:rFonts w:ascii="Garamond" w:hAnsi="Garamond" w:cstheme="majorBidi"/>
          <w:sz w:val="26"/>
          <w:szCs w:val="26"/>
        </w:rPr>
        <w:t xml:space="preserve"> but they lack understanding of credit, taxes, market share, financial statements, and insurance </w:t>
      </w:r>
      <w:sdt>
        <w:sdtPr>
          <w:rPr>
            <w:rFonts w:ascii="Garamond" w:hAnsi="Garamond" w:cstheme="majorBidi"/>
            <w:sz w:val="26"/>
            <w:szCs w:val="26"/>
          </w:rPr>
          <w:id w:val="-157314705"/>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Bha74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(Thapa &amp; Nepal,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0BE154C8"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Research conducted by </w:t>
      </w:r>
      <w:proofErr w:type="spellStart"/>
      <w:r w:rsidRPr="00D31548">
        <w:rPr>
          <w:rFonts w:ascii="Garamond" w:hAnsi="Garamond" w:cstheme="majorBidi"/>
          <w:sz w:val="26"/>
          <w:szCs w:val="26"/>
        </w:rPr>
        <w:t>Sekar</w:t>
      </w:r>
      <w:proofErr w:type="spellEnd"/>
      <w:r w:rsidRPr="00D31548">
        <w:rPr>
          <w:rFonts w:ascii="Garamond" w:hAnsi="Garamond" w:cstheme="majorBidi"/>
          <w:sz w:val="26"/>
          <w:szCs w:val="26"/>
        </w:rPr>
        <w:t xml:space="preserve"> M. and Gowri M entitled "Financial Literacy Study and Its Determinants among Gen Y Employees in Coimbatore City" shows that the level of financial literacy varies significantly among respondents based on various demographic and socio-economic factors. Gender, education, income, marital status </w:t>
      </w:r>
      <w:proofErr w:type="gramStart"/>
      <w:r w:rsidRPr="00D31548">
        <w:rPr>
          <w:rFonts w:ascii="Garamond" w:hAnsi="Garamond" w:cstheme="majorBidi"/>
          <w:sz w:val="26"/>
          <w:szCs w:val="26"/>
        </w:rPr>
        <w:t>have</w:t>
      </w:r>
      <w:proofErr w:type="gramEnd"/>
      <w:r w:rsidRPr="00D31548">
        <w:rPr>
          <w:rFonts w:ascii="Garamond" w:hAnsi="Garamond" w:cstheme="majorBidi"/>
          <w:sz w:val="26"/>
          <w:szCs w:val="26"/>
        </w:rPr>
        <w:t xml:space="preserve"> a significant effect on financial literacy, while age has no influence. It states that the level of financial literacy is low among Gen Y employees in the city of Coimbatore and actions that need to be taken by the government to raise awareness about matters relating to finance </w:t>
      </w:r>
      <w:sdt>
        <w:sdtPr>
          <w:rPr>
            <w:rFonts w:ascii="Garamond" w:hAnsi="Garamond" w:cstheme="majorBidi"/>
            <w:sz w:val="26"/>
            <w:szCs w:val="26"/>
          </w:rPr>
          <w:id w:val="-532580626"/>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Sek151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(Sekar &amp; Gowri,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5E7E3E5E"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Research with the title "Financial Literacy Levels at the Faculty of Economics S-1 Students" written by Farah </w:t>
      </w:r>
      <w:proofErr w:type="spellStart"/>
      <w:r w:rsidRPr="00D31548">
        <w:rPr>
          <w:rFonts w:ascii="Garamond" w:hAnsi="Garamond" w:cstheme="majorBidi"/>
          <w:sz w:val="26"/>
          <w:szCs w:val="26"/>
        </w:rPr>
        <w:t>Margaretha</w:t>
      </w:r>
      <w:proofErr w:type="spellEnd"/>
      <w:r w:rsidRPr="00D31548">
        <w:rPr>
          <w:rFonts w:ascii="Garamond" w:hAnsi="Garamond" w:cstheme="majorBidi"/>
          <w:sz w:val="26"/>
          <w:szCs w:val="26"/>
        </w:rPr>
        <w:t xml:space="preserve"> and Reza Arief </w:t>
      </w:r>
      <w:proofErr w:type="spellStart"/>
      <w:r w:rsidRPr="00D31548">
        <w:rPr>
          <w:rFonts w:ascii="Garamond" w:hAnsi="Garamond" w:cstheme="majorBidi"/>
          <w:sz w:val="26"/>
          <w:szCs w:val="26"/>
        </w:rPr>
        <w:t>Pambudhi</w:t>
      </w:r>
      <w:proofErr w:type="spellEnd"/>
      <w:r w:rsidRPr="00D31548">
        <w:rPr>
          <w:rFonts w:ascii="Garamond" w:hAnsi="Garamond" w:cstheme="majorBidi"/>
          <w:sz w:val="26"/>
          <w:szCs w:val="26"/>
        </w:rPr>
        <w:t xml:space="preserve"> states that the level of financial literacy at the Faculty of Economics S-1 students at the </w:t>
      </w:r>
      <w:proofErr w:type="spellStart"/>
      <w:r w:rsidRPr="00D31548">
        <w:rPr>
          <w:rFonts w:ascii="Garamond" w:hAnsi="Garamond" w:cstheme="majorBidi"/>
          <w:sz w:val="26"/>
          <w:szCs w:val="26"/>
        </w:rPr>
        <w:t>Trisakti</w:t>
      </w:r>
      <w:proofErr w:type="spellEnd"/>
      <w:r w:rsidRPr="00D31548">
        <w:rPr>
          <w:rFonts w:ascii="Garamond" w:hAnsi="Garamond" w:cstheme="majorBidi"/>
          <w:sz w:val="26"/>
          <w:szCs w:val="26"/>
        </w:rPr>
        <w:t xml:space="preserve"> University </w:t>
      </w:r>
      <w:proofErr w:type="gramStart"/>
      <w:r w:rsidRPr="00D31548">
        <w:rPr>
          <w:rFonts w:ascii="Garamond" w:hAnsi="Garamond" w:cstheme="majorBidi"/>
          <w:sz w:val="26"/>
          <w:szCs w:val="26"/>
        </w:rPr>
        <w:t>as a whole is</w:t>
      </w:r>
      <w:proofErr w:type="gramEnd"/>
      <w:r w:rsidRPr="00D31548">
        <w:rPr>
          <w:rFonts w:ascii="Garamond" w:hAnsi="Garamond" w:cstheme="majorBidi"/>
          <w:sz w:val="26"/>
          <w:szCs w:val="26"/>
        </w:rPr>
        <w:t xml:space="preserve"> in the low category, where gender, age, GPA and parental income have an influence on student financial literacy. The year of admission, place of residence, and parental education has no influence on financial literacy. Personal finance education for students is the proposed solution </w:t>
      </w:r>
      <w:sdt>
        <w:sdtPr>
          <w:rPr>
            <w:rFonts w:ascii="Garamond" w:hAnsi="Garamond" w:cstheme="majorBidi"/>
            <w:color w:val="000000"/>
            <w:sz w:val="26"/>
            <w:szCs w:val="26"/>
          </w:rPr>
          <w:id w:val="50821197"/>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Far151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(Margaretha &amp; Pambudhi, 2015)</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w:t>
      </w:r>
    </w:p>
    <w:p w14:paraId="2C2B8174"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research from Anastasia Sri </w:t>
      </w:r>
      <w:proofErr w:type="spellStart"/>
      <w:r w:rsidRPr="00D31548">
        <w:rPr>
          <w:rFonts w:ascii="Garamond" w:hAnsi="Garamond" w:cstheme="majorBidi"/>
          <w:sz w:val="26"/>
          <w:szCs w:val="26"/>
        </w:rPr>
        <w:t>Mendari</w:t>
      </w:r>
      <w:proofErr w:type="spellEnd"/>
      <w:r w:rsidRPr="00D31548">
        <w:rPr>
          <w:rFonts w:ascii="Garamond" w:hAnsi="Garamond" w:cstheme="majorBidi"/>
          <w:sz w:val="26"/>
          <w:szCs w:val="26"/>
        </w:rPr>
        <w:t xml:space="preserve"> &amp; </w:t>
      </w:r>
      <w:proofErr w:type="spellStart"/>
      <w:r w:rsidRPr="00D31548">
        <w:rPr>
          <w:rFonts w:ascii="Garamond" w:hAnsi="Garamond" w:cstheme="majorBidi"/>
          <w:sz w:val="26"/>
          <w:szCs w:val="26"/>
        </w:rPr>
        <w:t>Suramaya</w:t>
      </w:r>
      <w:proofErr w:type="spellEnd"/>
      <w:r w:rsidRPr="00D31548">
        <w:rPr>
          <w:rFonts w:ascii="Garamond" w:hAnsi="Garamond" w:cstheme="majorBidi"/>
          <w:sz w:val="26"/>
          <w:szCs w:val="26"/>
        </w:rPr>
        <w:t xml:space="preserve"> </w:t>
      </w:r>
      <w:proofErr w:type="spellStart"/>
      <w:r w:rsidRPr="00D31548">
        <w:rPr>
          <w:rFonts w:ascii="Garamond" w:hAnsi="Garamond" w:cstheme="majorBidi"/>
          <w:sz w:val="26"/>
          <w:szCs w:val="26"/>
        </w:rPr>
        <w:t>Suci</w:t>
      </w:r>
      <w:proofErr w:type="spellEnd"/>
      <w:r w:rsidRPr="00D31548">
        <w:rPr>
          <w:rFonts w:ascii="Garamond" w:hAnsi="Garamond" w:cstheme="majorBidi"/>
          <w:sz w:val="26"/>
          <w:szCs w:val="26"/>
        </w:rPr>
        <w:t xml:space="preserve"> </w:t>
      </w:r>
      <w:proofErr w:type="spellStart"/>
      <w:r w:rsidRPr="00D31548">
        <w:rPr>
          <w:rFonts w:ascii="Garamond" w:hAnsi="Garamond" w:cstheme="majorBidi"/>
          <w:sz w:val="26"/>
          <w:szCs w:val="26"/>
        </w:rPr>
        <w:t>Kewal</w:t>
      </w:r>
      <w:proofErr w:type="spellEnd"/>
      <w:r w:rsidRPr="00D31548">
        <w:rPr>
          <w:rFonts w:ascii="Garamond" w:hAnsi="Garamond" w:cstheme="majorBidi"/>
          <w:sz w:val="26"/>
          <w:szCs w:val="26"/>
        </w:rPr>
        <w:t xml:space="preserve"> entitled "Financial Literacy Levels among STIE Musi Students" describes that the study of financial literacy in high schools is not enough to provide a deep understanding of students both from the aspects of personal finance, savings, </w:t>
      </w:r>
      <w:proofErr w:type="gramStart"/>
      <w:r w:rsidRPr="00D31548">
        <w:rPr>
          <w:rFonts w:ascii="Garamond" w:hAnsi="Garamond" w:cstheme="majorBidi"/>
          <w:sz w:val="26"/>
          <w:szCs w:val="26"/>
        </w:rPr>
        <w:t>insurance</w:t>
      </w:r>
      <w:proofErr w:type="gramEnd"/>
      <w:r w:rsidRPr="00D31548">
        <w:rPr>
          <w:rFonts w:ascii="Garamond" w:hAnsi="Garamond" w:cstheme="majorBidi"/>
          <w:sz w:val="26"/>
          <w:szCs w:val="26"/>
        </w:rPr>
        <w:t xml:space="preserve"> and other financial products </w:t>
      </w:r>
      <w:sdt>
        <w:sdtPr>
          <w:rPr>
            <w:rFonts w:ascii="Garamond" w:hAnsi="Garamond" w:cstheme="majorBidi"/>
            <w:sz w:val="26"/>
            <w:szCs w:val="26"/>
          </w:rPr>
          <w:id w:val="1504401769"/>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Ana131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(Mendari &amp; Kewal, 2013)</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1C1208CC"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research conducted by the author will explore the level of awareness of Islamic financial literacy in the community which focuses on the age that is entering the quarterlife phase by taking the object of IAIN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alumni from 2010 to 2015.</w:t>
      </w:r>
    </w:p>
    <w:p w14:paraId="76C4C795" w14:textId="4F44FFBA" w:rsidR="005B597C" w:rsidRPr="00DE35BF" w:rsidRDefault="005B597C" w:rsidP="00DE35BF">
      <w:pPr>
        <w:spacing w:after="4" w:line="249" w:lineRule="auto"/>
        <w:ind w:left="-5" w:hanging="10"/>
        <w:jc w:val="both"/>
        <w:rPr>
          <w:rFonts w:ascii="Garamond" w:hAnsi="Garamond"/>
          <w:sz w:val="26"/>
          <w:szCs w:val="26"/>
          <w:lang w:val="id-ID"/>
        </w:rPr>
      </w:pPr>
      <w:r w:rsidRPr="00CA1E55">
        <w:rPr>
          <w:rFonts w:ascii="Garamond" w:hAnsi="Garamond"/>
          <w:sz w:val="26"/>
          <w:szCs w:val="26"/>
        </w:rPr>
        <w:t xml:space="preserve"> </w:t>
      </w:r>
    </w:p>
    <w:p w14:paraId="76299EA7" w14:textId="6EE0D77B" w:rsidR="005B597C" w:rsidRPr="00F36D3A" w:rsidRDefault="00F36D3A" w:rsidP="005B597C">
      <w:pPr>
        <w:pStyle w:val="Heading2"/>
        <w:rPr>
          <w:rFonts w:ascii="Segoe UI" w:hAnsi="Segoe UI"/>
          <w:color w:val="auto"/>
        </w:rPr>
      </w:pPr>
      <w:r>
        <w:rPr>
          <w:rFonts w:ascii="Segoe UI" w:hAnsi="Segoe UI"/>
          <w:color w:val="auto"/>
        </w:rPr>
        <w:lastRenderedPageBreak/>
        <w:t>Research Method</w:t>
      </w:r>
    </w:p>
    <w:p w14:paraId="48E2A9A1" w14:textId="77777777" w:rsidR="00D31548" w:rsidRPr="00D31548" w:rsidRDefault="00D31548" w:rsidP="00D31548">
      <w:pPr>
        <w:spacing w:line="276" w:lineRule="auto"/>
        <w:ind w:firstLine="720"/>
        <w:jc w:val="both"/>
        <w:rPr>
          <w:rFonts w:ascii="Garamond" w:eastAsia="Palatino Linotype" w:hAnsi="Garamond"/>
          <w:b/>
          <w:sz w:val="26"/>
          <w:szCs w:val="26"/>
        </w:rPr>
      </w:pPr>
      <w:r w:rsidRPr="00D31548">
        <w:rPr>
          <w:rFonts w:ascii="Garamond" w:hAnsi="Garamond" w:cstheme="majorBidi"/>
          <w:sz w:val="26"/>
          <w:szCs w:val="26"/>
        </w:rPr>
        <w:t xml:space="preserve">The data used in this study are primary data taken directly from the study location. This research uses a mixed method, meaning that this study mixes quantitative and qualitative methods. There are three basic methods in mixed methods </w:t>
      </w:r>
      <w:proofErr w:type="gramStart"/>
      <w:r w:rsidRPr="00D31548">
        <w:rPr>
          <w:rFonts w:ascii="Garamond" w:hAnsi="Garamond" w:cstheme="majorBidi"/>
          <w:sz w:val="26"/>
          <w:szCs w:val="26"/>
        </w:rPr>
        <w:t>namely;</w:t>
      </w:r>
      <w:proofErr w:type="gramEnd"/>
      <w:r w:rsidRPr="00D31548">
        <w:rPr>
          <w:rFonts w:ascii="Garamond" w:hAnsi="Garamond" w:cstheme="majorBidi"/>
          <w:sz w:val="26"/>
          <w:szCs w:val="26"/>
        </w:rPr>
        <w:t xml:space="preserve"> convergent parallel mixed method, explanatory sequential mixed method, and exploratory sequential mixed method.</w:t>
      </w:r>
    </w:p>
    <w:p w14:paraId="3A9255F6"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 xml:space="preserve">This study uses a convergent parallel method in which the authors collect qualitative and quantitative data, analyze them separately, and compare the results to </w:t>
      </w:r>
      <w:proofErr w:type="gramStart"/>
      <w:r w:rsidRPr="00D31548">
        <w:rPr>
          <w:rFonts w:ascii="Garamond" w:hAnsi="Garamond" w:cstheme="majorBidi"/>
          <w:sz w:val="26"/>
          <w:szCs w:val="26"/>
        </w:rPr>
        <w:t>determine:</w:t>
      </w:r>
      <w:proofErr w:type="gramEnd"/>
      <w:r w:rsidRPr="00D31548">
        <w:rPr>
          <w:rFonts w:ascii="Garamond" w:hAnsi="Garamond" w:cstheme="majorBidi"/>
          <w:sz w:val="26"/>
          <w:szCs w:val="26"/>
        </w:rPr>
        <w:t xml:space="preserve"> whether there are findings that confirm each other </w:t>
      </w:r>
      <w:sdt>
        <w:sdtPr>
          <w:rPr>
            <w:rFonts w:ascii="Garamond" w:hAnsi="Garamond" w:cstheme="majorBidi"/>
            <w:sz w:val="26"/>
            <w:szCs w:val="26"/>
          </w:rPr>
          <w:id w:val="-706253761"/>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Joh161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(Creswell, 2016)</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3B7B8EE5" w14:textId="77777777" w:rsidR="00D31548" w:rsidRPr="00D31548" w:rsidRDefault="00D31548" w:rsidP="00D31548">
      <w:pPr>
        <w:spacing w:before="240" w:line="276" w:lineRule="auto"/>
        <w:jc w:val="both"/>
        <w:rPr>
          <w:rFonts w:ascii="Garamond" w:hAnsi="Garamond" w:cstheme="majorBidi"/>
          <w:b/>
          <w:bCs/>
          <w:sz w:val="26"/>
          <w:szCs w:val="26"/>
        </w:rPr>
      </w:pPr>
      <w:r w:rsidRPr="00D31548">
        <w:rPr>
          <w:rFonts w:ascii="Garamond" w:hAnsi="Garamond" w:cstheme="majorBidi"/>
          <w:b/>
          <w:bCs/>
          <w:sz w:val="26"/>
          <w:szCs w:val="26"/>
        </w:rPr>
        <w:t xml:space="preserve">Population and Sample </w:t>
      </w:r>
    </w:p>
    <w:p w14:paraId="0E25C528"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population in this study is the number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who graduated from 2010 to 2015 from all majors as many as 1642 alumni. The sample is the process of selecting </w:t>
      </w:r>
      <w:proofErr w:type="gramStart"/>
      <w:r w:rsidRPr="00D31548">
        <w:rPr>
          <w:rFonts w:ascii="Garamond" w:hAnsi="Garamond" w:cstheme="majorBidi"/>
          <w:sz w:val="26"/>
          <w:szCs w:val="26"/>
        </w:rPr>
        <w:t>a number of</w:t>
      </w:r>
      <w:proofErr w:type="gramEnd"/>
      <w:r w:rsidRPr="00D31548">
        <w:rPr>
          <w:rFonts w:ascii="Garamond" w:hAnsi="Garamond" w:cstheme="majorBidi"/>
          <w:sz w:val="26"/>
          <w:szCs w:val="26"/>
        </w:rPr>
        <w:t xml:space="preserve"> research objects for research that represents the population </w:t>
      </w:r>
      <w:sdt>
        <w:sdtPr>
          <w:rPr>
            <w:rFonts w:ascii="Garamond" w:hAnsi="Garamond" w:cstheme="majorBidi"/>
            <w:sz w:val="26"/>
            <w:szCs w:val="26"/>
          </w:rPr>
          <w:id w:val="-798305665"/>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Sum141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(Sumanto, 2014)</w:t>
          </w:r>
          <w:r w:rsidRPr="00D31548">
            <w:rPr>
              <w:rFonts w:ascii="Garamond" w:hAnsi="Garamond" w:cstheme="majorBidi"/>
              <w:sz w:val="26"/>
              <w:szCs w:val="26"/>
            </w:rPr>
            <w:fldChar w:fldCharType="end"/>
          </w:r>
        </w:sdtContent>
      </w:sdt>
      <w:r w:rsidRPr="00D31548">
        <w:rPr>
          <w:rFonts w:ascii="Garamond" w:hAnsi="Garamond" w:cstheme="majorBidi"/>
          <w:sz w:val="26"/>
          <w:szCs w:val="26"/>
          <w:lang w:val="en"/>
        </w:rPr>
        <w:t xml:space="preserve">. </w:t>
      </w:r>
      <w:r w:rsidRPr="00D31548">
        <w:rPr>
          <w:rFonts w:ascii="Garamond" w:hAnsi="Garamond" w:cstheme="majorBidi"/>
          <w:sz w:val="26"/>
          <w:szCs w:val="26"/>
        </w:rPr>
        <w:t xml:space="preserve">To get information from the </w:t>
      </w:r>
      <w:proofErr w:type="gramStart"/>
      <w:r w:rsidRPr="00D31548">
        <w:rPr>
          <w:rFonts w:ascii="Garamond" w:hAnsi="Garamond" w:cstheme="majorBidi"/>
          <w:sz w:val="26"/>
          <w:szCs w:val="26"/>
        </w:rPr>
        <w:t>population</w:t>
      </w:r>
      <w:proofErr w:type="gramEnd"/>
      <w:r w:rsidRPr="00D31548">
        <w:rPr>
          <w:rFonts w:ascii="Garamond" w:hAnsi="Garamond" w:cstheme="majorBidi"/>
          <w:sz w:val="26"/>
          <w:szCs w:val="26"/>
        </w:rPr>
        <w:t xml:space="preserve"> which is the location of the study, sampling must be done. This research uses </w:t>
      </w:r>
      <w:proofErr w:type="spellStart"/>
      <w:r w:rsidRPr="00D31548">
        <w:rPr>
          <w:rFonts w:ascii="Garamond" w:hAnsi="Garamond" w:cstheme="majorBidi"/>
          <w:sz w:val="26"/>
          <w:szCs w:val="26"/>
        </w:rPr>
        <w:t>Slovin</w:t>
      </w:r>
      <w:proofErr w:type="spellEnd"/>
      <w:r w:rsidRPr="00D31548">
        <w:rPr>
          <w:rFonts w:ascii="Garamond" w:hAnsi="Garamond" w:cstheme="majorBidi"/>
          <w:sz w:val="26"/>
          <w:szCs w:val="26"/>
        </w:rPr>
        <w:t xml:space="preserve"> formula</w:t>
      </w:r>
      <w:r w:rsidRPr="00D31548">
        <w:rPr>
          <w:rFonts w:ascii="Garamond" w:hAnsi="Garamond" w:cstheme="majorBidi"/>
          <w:i/>
          <w:iCs/>
          <w:sz w:val="26"/>
          <w:szCs w:val="26"/>
        </w:rPr>
        <w:t xml:space="preserve"> </w:t>
      </w:r>
      <w:sdt>
        <w:sdtPr>
          <w:rPr>
            <w:rFonts w:ascii="Garamond" w:hAnsi="Garamond" w:cstheme="majorBidi"/>
            <w:i/>
            <w:iCs/>
            <w:sz w:val="26"/>
            <w:szCs w:val="26"/>
          </w:rPr>
          <w:id w:val="797731131"/>
          <w:citation/>
        </w:sdtPr>
        <w:sdtContent>
          <w:r w:rsidRPr="00D31548">
            <w:rPr>
              <w:rFonts w:ascii="Garamond" w:hAnsi="Garamond" w:cstheme="majorBidi"/>
              <w:i/>
              <w:iCs/>
              <w:sz w:val="26"/>
              <w:szCs w:val="26"/>
            </w:rPr>
            <w:fldChar w:fldCharType="begin"/>
          </w:r>
          <w:r w:rsidRPr="00D31548">
            <w:rPr>
              <w:rFonts w:ascii="Garamond" w:hAnsi="Garamond" w:cstheme="majorBidi"/>
              <w:i/>
              <w:iCs/>
              <w:sz w:val="26"/>
              <w:szCs w:val="26"/>
            </w:rPr>
            <w:instrText xml:space="preserve"> CITATION 19Fe \l 1033 </w:instrText>
          </w:r>
          <w:r w:rsidRPr="00D31548">
            <w:rPr>
              <w:rFonts w:ascii="Garamond" w:hAnsi="Garamond" w:cstheme="majorBidi"/>
              <w:i/>
              <w:iCs/>
              <w:sz w:val="26"/>
              <w:szCs w:val="26"/>
            </w:rPr>
            <w:fldChar w:fldCharType="separate"/>
          </w:r>
          <w:r w:rsidRPr="00D31548">
            <w:rPr>
              <w:rFonts w:ascii="Garamond" w:hAnsi="Garamond" w:cstheme="majorBidi"/>
              <w:noProof/>
              <w:sz w:val="26"/>
              <w:szCs w:val="26"/>
            </w:rPr>
            <w:t>(2019)</w:t>
          </w:r>
          <w:r w:rsidRPr="00D31548">
            <w:rPr>
              <w:rFonts w:ascii="Garamond" w:hAnsi="Garamond" w:cstheme="majorBidi"/>
              <w:i/>
              <w:iCs/>
              <w:sz w:val="26"/>
              <w:szCs w:val="26"/>
            </w:rPr>
            <w:fldChar w:fldCharType="end"/>
          </w:r>
        </w:sdtContent>
      </w:sdt>
      <w:r w:rsidRPr="00D31548">
        <w:rPr>
          <w:rFonts w:ascii="Garamond" w:hAnsi="Garamond" w:cstheme="majorBidi"/>
          <w:sz w:val="26"/>
          <w:szCs w:val="26"/>
        </w:rPr>
        <w:t xml:space="preserve"> to determine the sample size from the available population size, 94.26 samples were obtained or rounded to 94 samples.</w:t>
      </w:r>
    </w:p>
    <w:p w14:paraId="2F14C425" w14:textId="2DA3E6DA" w:rsidR="00D31548" w:rsidRPr="00D31548" w:rsidRDefault="00D31548" w:rsidP="00D31548">
      <w:pPr>
        <w:spacing w:after="240"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To take a sample questionnaire, the writer will use the incidental sampling method in which the sampling process is based on coincidence, </w:t>
      </w:r>
      <w:proofErr w:type="spellStart"/>
      <w:proofErr w:type="gramStart"/>
      <w:r w:rsidRPr="00D31548">
        <w:rPr>
          <w:rFonts w:ascii="Garamond" w:hAnsi="Garamond" w:cstheme="majorBidi"/>
          <w:sz w:val="26"/>
          <w:szCs w:val="26"/>
        </w:rPr>
        <w:t>ie</w:t>
      </w:r>
      <w:proofErr w:type="spellEnd"/>
      <w:proofErr w:type="gramEnd"/>
      <w:r w:rsidRPr="00D31548">
        <w:rPr>
          <w:rFonts w:ascii="Garamond" w:hAnsi="Garamond" w:cstheme="majorBidi"/>
          <w:sz w:val="26"/>
          <w:szCs w:val="26"/>
        </w:rPr>
        <w:t xml:space="preserve"> anyone who accidentally meets the researcher can be used as a sample </w:t>
      </w:r>
      <w:sdt>
        <w:sdtPr>
          <w:rPr>
            <w:rFonts w:ascii="Garamond" w:hAnsi="Garamond" w:cstheme="majorBidi"/>
            <w:sz w:val="26"/>
            <w:szCs w:val="26"/>
          </w:rPr>
          <w:id w:val="1001784945"/>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Sug122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(Sugiyono, 2012)</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However, in taking samples for in-depth interviews, the writer will use a purposive sampling method in which the sample is chosen based on the criteria or research objectives using personal considerations that are appropriate to the research topic </w:t>
      </w:r>
      <w:r w:rsidRPr="00D31548">
        <w:rPr>
          <w:rFonts w:ascii="Garamond" w:hAnsi="Garamond" w:cstheme="majorBidi"/>
          <w:noProof/>
          <w:sz w:val="26"/>
          <w:szCs w:val="26"/>
        </w:rPr>
        <w:t>(Idem, 2012)</w:t>
      </w:r>
      <w:r w:rsidRPr="00D31548">
        <w:rPr>
          <w:rFonts w:ascii="Garamond" w:hAnsi="Garamond" w:cstheme="majorBidi"/>
          <w:sz w:val="26"/>
          <w:szCs w:val="26"/>
        </w:rPr>
        <w:t xml:space="preserve">. In this study, the criteria for in-depth interview respondents are alumni with married and unmarried status, entrepreneurs, civil servants, and postgraduate students. </w:t>
      </w:r>
    </w:p>
    <w:p w14:paraId="4AB57BE9" w14:textId="77777777" w:rsidR="00D31548" w:rsidRPr="00D31548" w:rsidRDefault="00D31548" w:rsidP="00D31548">
      <w:pPr>
        <w:spacing w:line="276" w:lineRule="auto"/>
        <w:jc w:val="both"/>
        <w:rPr>
          <w:rFonts w:ascii="Garamond" w:hAnsi="Garamond" w:cstheme="majorBidi"/>
          <w:b/>
          <w:bCs/>
          <w:i/>
          <w:iCs/>
          <w:sz w:val="26"/>
          <w:szCs w:val="26"/>
        </w:rPr>
      </w:pPr>
      <w:r w:rsidRPr="00D31548">
        <w:rPr>
          <w:rFonts w:ascii="Garamond" w:hAnsi="Garamond" w:cstheme="majorBidi"/>
          <w:b/>
          <w:bCs/>
          <w:i/>
          <w:iCs/>
          <w:sz w:val="26"/>
          <w:szCs w:val="26"/>
        </w:rPr>
        <w:t>In-depth Interview</w:t>
      </w:r>
    </w:p>
    <w:p w14:paraId="2F5F6386"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In this study, the interview technique used was a semi-structured interview. The questions asked are open but there are still restrictions in accordance with the theme and flow of the conversation. Although the questions raised are open and free, semi-structured interviews can predict the speed of interview time. Interviews are flexible and have an interview flow so that they do not go anywhere and focus only on the topic. In this case, the author will bring a small note as a reminder of the flow and time during the interview. The purpose of semi-structured interviews is to understand people's awareness firsthand </w:t>
      </w:r>
      <w:sdt>
        <w:sdtPr>
          <w:rPr>
            <w:rFonts w:ascii="Garamond" w:hAnsi="Garamond" w:cstheme="majorBidi"/>
            <w:sz w:val="26"/>
            <w:szCs w:val="26"/>
          </w:rPr>
          <w:id w:val="-1717734041"/>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Har101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(Herdiansyah, 2010)</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7979E943" w14:textId="42B7871D" w:rsidR="00D31548" w:rsidRDefault="00D31548" w:rsidP="00D31548">
      <w:pPr>
        <w:spacing w:line="276" w:lineRule="auto"/>
        <w:jc w:val="both"/>
        <w:rPr>
          <w:rFonts w:ascii="Garamond" w:hAnsi="Garamond" w:cstheme="majorBidi"/>
          <w:sz w:val="26"/>
          <w:szCs w:val="26"/>
        </w:rPr>
      </w:pPr>
    </w:p>
    <w:p w14:paraId="15C74013" w14:textId="17F1D8E5" w:rsidR="00F36D3A" w:rsidRDefault="00F36D3A" w:rsidP="00D31548">
      <w:pPr>
        <w:spacing w:line="276" w:lineRule="auto"/>
        <w:jc w:val="both"/>
        <w:rPr>
          <w:rFonts w:ascii="Garamond" w:hAnsi="Garamond" w:cstheme="majorBidi"/>
          <w:sz w:val="26"/>
          <w:szCs w:val="26"/>
        </w:rPr>
      </w:pPr>
    </w:p>
    <w:p w14:paraId="341A8150" w14:textId="77777777" w:rsidR="00F36D3A" w:rsidRPr="00D31548" w:rsidRDefault="00F36D3A" w:rsidP="00D31548">
      <w:pPr>
        <w:spacing w:line="276" w:lineRule="auto"/>
        <w:jc w:val="both"/>
        <w:rPr>
          <w:rFonts w:ascii="Garamond" w:hAnsi="Garamond" w:cstheme="majorBidi"/>
          <w:sz w:val="26"/>
          <w:szCs w:val="26"/>
        </w:rPr>
      </w:pPr>
    </w:p>
    <w:p w14:paraId="54F6AA85" w14:textId="77777777" w:rsidR="00D31548" w:rsidRPr="00D31548" w:rsidRDefault="00D31548" w:rsidP="00D31548">
      <w:pPr>
        <w:spacing w:line="276" w:lineRule="auto"/>
        <w:jc w:val="both"/>
        <w:rPr>
          <w:rFonts w:ascii="Garamond" w:hAnsi="Garamond" w:cstheme="majorBidi"/>
          <w:b/>
          <w:bCs/>
          <w:sz w:val="26"/>
          <w:szCs w:val="26"/>
        </w:rPr>
      </w:pPr>
      <w:r w:rsidRPr="00D31548">
        <w:rPr>
          <w:rFonts w:ascii="Garamond" w:hAnsi="Garamond" w:cstheme="majorBidi"/>
          <w:b/>
          <w:bCs/>
          <w:sz w:val="26"/>
          <w:szCs w:val="26"/>
        </w:rPr>
        <w:lastRenderedPageBreak/>
        <w:t>Questionnaire</w:t>
      </w:r>
    </w:p>
    <w:p w14:paraId="15F8A1D6"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There are 50 questions in the questionnaire in this study. There are five specific questions that talk about financial literacy; individual knowledge of finance, investment, insurance, savings and loans, and knowledge of financial institutions where all aspects refer to Islamic economics.</w:t>
      </w:r>
    </w:p>
    <w:p w14:paraId="159A3C5D" w14:textId="6A6F9438" w:rsidR="00D31548" w:rsidRPr="00D31548" w:rsidRDefault="00D31548" w:rsidP="00D31548">
      <w:pPr>
        <w:spacing w:before="240"/>
        <w:rPr>
          <w:rFonts w:ascii="Garamond" w:hAnsi="Garamond" w:cstheme="majorBidi"/>
          <w:b/>
          <w:bCs/>
          <w:sz w:val="26"/>
          <w:szCs w:val="26"/>
        </w:rPr>
      </w:pPr>
      <w:r w:rsidRPr="00D31548">
        <w:rPr>
          <w:rFonts w:ascii="Garamond" w:hAnsi="Garamond" w:cstheme="majorBidi"/>
          <w:b/>
          <w:bCs/>
          <w:sz w:val="26"/>
          <w:szCs w:val="26"/>
        </w:rPr>
        <w:t>Operational Definition of Research Variable</w:t>
      </w:r>
    </w:p>
    <w:p w14:paraId="590A8729" w14:textId="77777777" w:rsidR="00D31548" w:rsidRPr="00D31548" w:rsidRDefault="00D31548" w:rsidP="00D31548">
      <w:pPr>
        <w:jc w:val="both"/>
        <w:rPr>
          <w:rFonts w:ascii="Garamond" w:hAnsi="Garamond" w:cstheme="majorBidi"/>
          <w:b/>
          <w:sz w:val="26"/>
          <w:szCs w:val="26"/>
        </w:rPr>
      </w:pPr>
      <w:r w:rsidRPr="00D31548">
        <w:rPr>
          <w:rFonts w:ascii="Garamond" w:hAnsi="Garamond" w:cstheme="majorBidi"/>
          <w:b/>
          <w:sz w:val="26"/>
          <w:szCs w:val="26"/>
        </w:rPr>
        <w:t>Dependent Variable</w:t>
      </w:r>
    </w:p>
    <w:p w14:paraId="2EE5529A" w14:textId="213ADA3A"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In this study, the dependent variable used is Islamic financial literacy, which is the ability of a person to process and plan Islamic finance, not only for himself but also his family. To measure the level of sharia financial literacy, a questionnaire will be distributed to the people that have been determined. Questions from distributed questionnaires are questions about sharia financial literacy.</w:t>
      </w:r>
    </w:p>
    <w:p w14:paraId="2E9EB098" w14:textId="77777777" w:rsidR="00D31548" w:rsidRPr="00D31548" w:rsidRDefault="00D31548" w:rsidP="00D31548">
      <w:pPr>
        <w:jc w:val="both"/>
        <w:rPr>
          <w:rFonts w:ascii="Garamond" w:hAnsi="Garamond" w:cstheme="majorBidi"/>
          <w:b/>
          <w:sz w:val="26"/>
          <w:szCs w:val="26"/>
        </w:rPr>
      </w:pPr>
      <w:r w:rsidRPr="00D31548">
        <w:rPr>
          <w:rFonts w:ascii="Garamond" w:hAnsi="Garamond" w:cstheme="majorBidi"/>
          <w:b/>
          <w:sz w:val="26"/>
          <w:szCs w:val="26"/>
        </w:rPr>
        <w:t>Independent Variable</w:t>
      </w:r>
    </w:p>
    <w:p w14:paraId="18E9781C" w14:textId="77777777" w:rsidR="00D31548" w:rsidRPr="00D31548" w:rsidRDefault="00D31548" w:rsidP="00D31548">
      <w:pPr>
        <w:ind w:firstLine="720"/>
        <w:jc w:val="both"/>
        <w:rPr>
          <w:rFonts w:ascii="Garamond" w:hAnsi="Garamond" w:cstheme="majorBidi"/>
          <w:sz w:val="26"/>
          <w:szCs w:val="26"/>
        </w:rPr>
      </w:pPr>
      <w:r w:rsidRPr="00D31548">
        <w:rPr>
          <w:rFonts w:ascii="Garamond" w:hAnsi="Garamond" w:cstheme="majorBidi"/>
          <w:sz w:val="26"/>
          <w:szCs w:val="26"/>
        </w:rPr>
        <w:t>There are three independent variables used in this study. The first is gender, this variable explains the gender of the respondent, namely male and female; Second is marital status, in this variable is determined by being married and not married; The third or final variable is income, this variable explains the amount of a person's income in each month which is classified in the form of average; &lt;1,000,000, 1,000,000 - 3,000,000, 3,000,000 - 5,000,000, 5,000,000 - 7,000,000,&gt; 7,000,000.</w:t>
      </w:r>
    </w:p>
    <w:p w14:paraId="174B6F47" w14:textId="28A29341" w:rsidR="00D31548" w:rsidRPr="00D31548" w:rsidRDefault="00D31548" w:rsidP="00D31548">
      <w:pPr>
        <w:spacing w:before="240" w:line="276" w:lineRule="auto"/>
        <w:rPr>
          <w:rFonts w:ascii="Garamond" w:hAnsi="Garamond" w:cstheme="majorBidi"/>
          <w:b/>
          <w:bCs/>
          <w:sz w:val="26"/>
          <w:szCs w:val="26"/>
        </w:rPr>
      </w:pPr>
      <w:r w:rsidRPr="00D31548">
        <w:rPr>
          <w:rFonts w:ascii="Garamond" w:hAnsi="Garamond" w:cstheme="majorBidi"/>
          <w:b/>
          <w:bCs/>
          <w:sz w:val="26"/>
          <w:szCs w:val="26"/>
        </w:rPr>
        <w:t>Instrument Research Test</w:t>
      </w:r>
    </w:p>
    <w:p w14:paraId="43F8C53E"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Validity Test</w:t>
      </w:r>
    </w:p>
    <w:p w14:paraId="39B3BC2F"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data that has been obtained from the questionnaire, before processing it must be done in advance the validity test to test how valid the questions raised in the questionnaire with the variables studied </w:t>
      </w:r>
      <w:sdt>
        <w:sdtPr>
          <w:rPr>
            <w:rFonts w:ascii="Garamond" w:hAnsi="Garamond" w:cstheme="majorBidi"/>
            <w:sz w:val="26"/>
            <w:szCs w:val="26"/>
          </w:rPr>
          <w:id w:val="27891776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Alg151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(Algifari,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253E3FF2" w14:textId="732D6F93"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This study uses SPSS version 15.0 to determine the construct validity. The construct validity is to show that the measurement instruments in the questionnaire measure validly as indicated by strong correlations with the variables in the study. The validity test in this study uses the corrected item correlation technique, in making the decision is if r count &gt; r table can be said to be valid, but conversely if r count &lt; r table then it is said to be invalid. After being found valid or not, a significant test using r tables can be said to be significant at the 0.05 or 5% level </w:t>
      </w:r>
      <w:sdt>
        <w:sdtPr>
          <w:rPr>
            <w:rFonts w:ascii="Garamond" w:hAnsi="Garamond" w:cstheme="majorBidi"/>
            <w:sz w:val="26"/>
            <w:szCs w:val="26"/>
          </w:rPr>
          <w:id w:val="1991910171"/>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Wil151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(Abdillah &amp; Hartono,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6027F0DE"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Reliability Test</w:t>
      </w:r>
    </w:p>
    <w:p w14:paraId="77505933" w14:textId="77DFB5C6" w:rsidR="00D31548" w:rsidRDefault="00D31548" w:rsidP="00D31548">
      <w:pPr>
        <w:spacing w:line="276" w:lineRule="auto"/>
        <w:ind w:firstLine="720"/>
        <w:jc w:val="both"/>
        <w:rPr>
          <w:rFonts w:ascii="Garamond" w:eastAsiaTheme="minorEastAsia" w:hAnsi="Garamond" w:cstheme="majorBidi"/>
          <w:sz w:val="26"/>
          <w:szCs w:val="26"/>
        </w:rPr>
      </w:pPr>
      <w:r w:rsidRPr="00D31548">
        <w:rPr>
          <w:rFonts w:ascii="Garamond" w:hAnsi="Garamond" w:cstheme="majorBidi"/>
          <w:sz w:val="26"/>
          <w:szCs w:val="26"/>
        </w:rPr>
        <w:t xml:space="preserve">If the validity test has been carried out, then the next is to do a </w:t>
      </w:r>
      <w:proofErr w:type="spellStart"/>
      <w:r w:rsidRPr="00D31548">
        <w:rPr>
          <w:rFonts w:ascii="Garamond" w:hAnsi="Garamond" w:cstheme="majorBidi"/>
          <w:sz w:val="26"/>
          <w:szCs w:val="26"/>
        </w:rPr>
        <w:t>reability</w:t>
      </w:r>
      <w:proofErr w:type="spellEnd"/>
      <w:r w:rsidRPr="00D31548">
        <w:rPr>
          <w:rFonts w:ascii="Garamond" w:hAnsi="Garamond" w:cstheme="majorBidi"/>
          <w:sz w:val="26"/>
          <w:szCs w:val="26"/>
        </w:rPr>
        <w:t xml:space="preserve"> test. The reliability test is used to test how consistent the answers given by respondents in the questionnaire provided </w:t>
      </w:r>
      <w:sdt>
        <w:sdtPr>
          <w:rPr>
            <w:rFonts w:ascii="Garamond" w:hAnsi="Garamond" w:cstheme="majorBidi"/>
            <w:sz w:val="26"/>
            <w:szCs w:val="26"/>
          </w:rPr>
          <w:id w:val="146411937"/>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Wil151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(Abdillah &amp; Hartono, 2015)</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r w:rsidRPr="00D31548">
        <w:rPr>
          <w:rFonts w:ascii="Garamond" w:eastAsiaTheme="minorEastAsia" w:hAnsi="Garamond" w:cstheme="majorBidi"/>
          <w:sz w:val="26"/>
          <w:szCs w:val="26"/>
        </w:rPr>
        <w:t xml:space="preserve">The data can be said to be reliable if the Cronbach Alpha is at least 0.8. But there are also those who argue that 0.6 </w:t>
      </w:r>
      <w:proofErr w:type="spellStart"/>
      <w:r w:rsidRPr="00D31548">
        <w:rPr>
          <w:rFonts w:ascii="Garamond" w:eastAsiaTheme="minorEastAsia" w:hAnsi="Garamond" w:cstheme="majorBidi"/>
          <w:sz w:val="26"/>
          <w:szCs w:val="26"/>
        </w:rPr>
        <w:t>croanbach</w:t>
      </w:r>
      <w:proofErr w:type="spellEnd"/>
      <w:r w:rsidRPr="00D31548">
        <w:rPr>
          <w:rFonts w:ascii="Garamond" w:eastAsiaTheme="minorEastAsia" w:hAnsi="Garamond" w:cstheme="majorBidi"/>
          <w:sz w:val="26"/>
          <w:szCs w:val="26"/>
        </w:rPr>
        <w:t xml:space="preserve"> alpha can be said to be reliable </w:t>
      </w:r>
      <w:sdt>
        <w:sdtPr>
          <w:rPr>
            <w:rFonts w:ascii="Garamond" w:eastAsiaTheme="minorEastAsia" w:hAnsi="Garamond" w:cstheme="majorBidi"/>
            <w:i/>
            <w:iCs/>
            <w:sz w:val="26"/>
            <w:szCs w:val="26"/>
          </w:rPr>
          <w:id w:val="-761073183"/>
          <w:citation/>
        </w:sdtPr>
        <w:sdtContent>
          <w:r w:rsidRPr="00D31548">
            <w:rPr>
              <w:rFonts w:ascii="Garamond" w:eastAsiaTheme="minorEastAsia" w:hAnsi="Garamond" w:cstheme="majorBidi"/>
              <w:i/>
              <w:iCs/>
              <w:sz w:val="26"/>
              <w:szCs w:val="26"/>
            </w:rPr>
            <w:fldChar w:fldCharType="begin"/>
          </w:r>
          <w:r w:rsidRPr="00D31548">
            <w:rPr>
              <w:rFonts w:ascii="Garamond" w:eastAsiaTheme="minorEastAsia" w:hAnsi="Garamond" w:cstheme="majorBidi"/>
              <w:i/>
              <w:iCs/>
              <w:sz w:val="26"/>
              <w:szCs w:val="26"/>
            </w:rPr>
            <w:instrText xml:space="preserve"> CITATION Alg151 \l 1033 </w:instrText>
          </w:r>
          <w:r w:rsidRPr="00D31548">
            <w:rPr>
              <w:rFonts w:ascii="Garamond" w:eastAsiaTheme="minorEastAsia" w:hAnsi="Garamond" w:cstheme="majorBidi"/>
              <w:i/>
              <w:iCs/>
              <w:sz w:val="26"/>
              <w:szCs w:val="26"/>
            </w:rPr>
            <w:fldChar w:fldCharType="separate"/>
          </w:r>
          <w:r w:rsidRPr="00D31548">
            <w:rPr>
              <w:rFonts w:ascii="Garamond" w:eastAsiaTheme="minorEastAsia" w:hAnsi="Garamond" w:cstheme="majorBidi"/>
              <w:noProof/>
              <w:sz w:val="26"/>
              <w:szCs w:val="26"/>
            </w:rPr>
            <w:t>(Algifari, 2015)</w:t>
          </w:r>
          <w:r w:rsidRPr="00D31548">
            <w:rPr>
              <w:rFonts w:ascii="Garamond" w:eastAsiaTheme="minorEastAsia" w:hAnsi="Garamond" w:cstheme="majorBidi"/>
              <w:i/>
              <w:iCs/>
              <w:sz w:val="26"/>
              <w:szCs w:val="26"/>
            </w:rPr>
            <w:fldChar w:fldCharType="end"/>
          </w:r>
        </w:sdtContent>
      </w:sdt>
      <w:r w:rsidRPr="00D31548">
        <w:rPr>
          <w:rFonts w:ascii="Garamond" w:eastAsiaTheme="minorEastAsia" w:hAnsi="Garamond" w:cstheme="majorBidi"/>
          <w:sz w:val="26"/>
          <w:szCs w:val="26"/>
        </w:rPr>
        <w:t>.</w:t>
      </w:r>
    </w:p>
    <w:p w14:paraId="5C4D535B" w14:textId="77777777" w:rsidR="00F36D3A" w:rsidRPr="00D31548" w:rsidRDefault="00F36D3A" w:rsidP="00D31548">
      <w:pPr>
        <w:spacing w:line="276" w:lineRule="auto"/>
        <w:ind w:firstLine="720"/>
        <w:jc w:val="both"/>
        <w:rPr>
          <w:rFonts w:ascii="Garamond" w:hAnsi="Garamond" w:cstheme="majorBidi"/>
          <w:sz w:val="26"/>
          <w:szCs w:val="26"/>
        </w:rPr>
      </w:pPr>
    </w:p>
    <w:p w14:paraId="676C9C75" w14:textId="66538109" w:rsidR="00D31548" w:rsidRPr="00D31548" w:rsidRDefault="00D31548" w:rsidP="00D31548">
      <w:pPr>
        <w:spacing w:before="240" w:line="276" w:lineRule="auto"/>
        <w:rPr>
          <w:rFonts w:ascii="Garamond" w:eastAsia="Palatino Linotype" w:hAnsi="Garamond"/>
          <w:b/>
          <w:sz w:val="26"/>
          <w:szCs w:val="26"/>
        </w:rPr>
      </w:pPr>
      <w:r w:rsidRPr="00D31548">
        <w:rPr>
          <w:rFonts w:ascii="Garamond" w:eastAsia="Palatino Linotype" w:hAnsi="Garamond"/>
          <w:b/>
          <w:sz w:val="26"/>
          <w:szCs w:val="26"/>
        </w:rPr>
        <w:lastRenderedPageBreak/>
        <w:t>Data Analysis</w:t>
      </w:r>
    </w:p>
    <w:p w14:paraId="4CBB18E8" w14:textId="77777777" w:rsidR="00D31548" w:rsidRPr="00D31548" w:rsidRDefault="00D31548" w:rsidP="00F36D3A">
      <w:pPr>
        <w:spacing w:line="276" w:lineRule="auto"/>
        <w:jc w:val="both"/>
        <w:rPr>
          <w:rFonts w:ascii="Garamond" w:eastAsiaTheme="minorEastAsia" w:hAnsi="Garamond" w:cstheme="majorBidi"/>
          <w:b/>
          <w:sz w:val="26"/>
          <w:szCs w:val="26"/>
        </w:rPr>
      </w:pPr>
      <w:r w:rsidRPr="00D31548">
        <w:rPr>
          <w:rFonts w:ascii="Garamond" w:eastAsiaTheme="minorEastAsia" w:hAnsi="Garamond" w:cstheme="majorBidi"/>
          <w:b/>
          <w:sz w:val="26"/>
          <w:szCs w:val="26"/>
        </w:rPr>
        <w:t>Descriptive Analysis</w:t>
      </w:r>
    </w:p>
    <w:p w14:paraId="56BA1A8D" w14:textId="6B516EC0"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Data analysis techniques in qualitative and quantitative research through procedures that have been carried out by many experts. The procedure is through the procedures of data collection, data input, data analysis, drawing conclusions and verification, and ending with the form of findings in the form of narration </w:t>
      </w:r>
      <w:sdt>
        <w:sdtPr>
          <w:rPr>
            <w:rFonts w:ascii="Garamond" w:hAnsi="Garamond" w:cstheme="majorBidi"/>
            <w:sz w:val="26"/>
            <w:szCs w:val="26"/>
          </w:rPr>
          <w:id w:val="149144736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Har101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(Herdiansyah, 2010)</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3C996FE9"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Likert Scale</w:t>
      </w:r>
    </w:p>
    <w:p w14:paraId="3D33B648" w14:textId="2E1299DD"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In response to the difficulty of measuring character and personality, there are procedures for measuring attitude scales. The original Likert scale is used a series of questions with five response alternatives: strongly approve (1), approve (2), undecided (3), disapprove (4), and strongly disapprove (5).</w:t>
      </w:r>
    </w:p>
    <w:p w14:paraId="03E4C49F" w14:textId="77777777" w:rsidR="00D31548" w:rsidRPr="00D31548" w:rsidRDefault="00D31548" w:rsidP="00D31548">
      <w:pPr>
        <w:spacing w:line="276" w:lineRule="auto"/>
        <w:jc w:val="both"/>
        <w:rPr>
          <w:rFonts w:ascii="Garamond" w:hAnsi="Garamond" w:cstheme="majorBidi"/>
          <w:b/>
          <w:bCs/>
          <w:sz w:val="26"/>
          <w:szCs w:val="26"/>
        </w:rPr>
      </w:pPr>
      <w:r w:rsidRPr="00D31548">
        <w:rPr>
          <w:rFonts w:ascii="Garamond" w:hAnsi="Garamond" w:cstheme="majorBidi"/>
          <w:b/>
          <w:bCs/>
          <w:sz w:val="26"/>
          <w:szCs w:val="26"/>
        </w:rPr>
        <w:t>Multiple Regression Analysis</w:t>
      </w:r>
    </w:p>
    <w:p w14:paraId="7A57C0C7"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Linear regression analysis is a statistical technique for modeling and investigating the effect of one or several independent variables on a response or dependent variable </w:t>
      </w:r>
      <w:sdt>
        <w:sdtPr>
          <w:rPr>
            <w:rFonts w:ascii="Garamond" w:hAnsi="Garamond" w:cstheme="majorBidi"/>
            <w:sz w:val="26"/>
            <w:szCs w:val="26"/>
          </w:rPr>
          <w:id w:val="-1400904030"/>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Agu151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(Basuki, 2015)</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In this study will use multiple linear regression with formula: </w:t>
      </w:r>
    </w:p>
    <w:p w14:paraId="138B9B44" w14:textId="77777777" w:rsidR="00D31548" w:rsidRPr="00D31548" w:rsidRDefault="00D31548" w:rsidP="00D31548">
      <w:pPr>
        <w:spacing w:line="276" w:lineRule="auto"/>
        <w:jc w:val="center"/>
        <w:rPr>
          <w:rFonts w:ascii="Garamond" w:hAnsi="Garamond" w:cstheme="majorBidi"/>
          <w:sz w:val="26"/>
          <w:szCs w:val="26"/>
        </w:rPr>
      </w:pPr>
      <w:r w:rsidRPr="00D31548">
        <w:rPr>
          <w:rFonts w:ascii="Garamond" w:hAnsi="Garamond" w:cstheme="majorBidi"/>
          <w:b/>
          <w:bCs/>
          <w:sz w:val="26"/>
          <w:szCs w:val="26"/>
        </w:rPr>
        <w:t>Y = b</w:t>
      </w:r>
      <w:r w:rsidRPr="00D31548">
        <w:rPr>
          <w:rFonts w:ascii="Garamond" w:hAnsi="Garamond" w:cstheme="majorBidi"/>
          <w:b/>
          <w:bCs/>
          <w:sz w:val="26"/>
          <w:szCs w:val="26"/>
          <w:vertAlign w:val="subscript"/>
        </w:rPr>
        <w:t>0</w:t>
      </w:r>
      <w:r w:rsidRPr="00D31548">
        <w:rPr>
          <w:rFonts w:ascii="Garamond" w:hAnsi="Garamond" w:cstheme="majorBidi"/>
          <w:b/>
          <w:bCs/>
          <w:sz w:val="26"/>
          <w:szCs w:val="26"/>
        </w:rPr>
        <w:t xml:space="preserve"> + b</w:t>
      </w:r>
      <w:r w:rsidRPr="00D31548">
        <w:rPr>
          <w:rFonts w:ascii="Garamond" w:hAnsi="Garamond" w:cstheme="majorBidi"/>
          <w:b/>
          <w:bCs/>
          <w:sz w:val="26"/>
          <w:szCs w:val="26"/>
          <w:vertAlign w:val="subscript"/>
        </w:rPr>
        <w:t>1</w:t>
      </w:r>
      <w:r w:rsidRPr="00D31548">
        <w:rPr>
          <w:rFonts w:ascii="Garamond" w:hAnsi="Garamond" w:cstheme="majorBidi"/>
          <w:b/>
          <w:bCs/>
          <w:sz w:val="26"/>
          <w:szCs w:val="26"/>
        </w:rPr>
        <w:t>X</w:t>
      </w:r>
      <w:r w:rsidRPr="00D31548">
        <w:rPr>
          <w:rFonts w:ascii="Garamond" w:hAnsi="Garamond" w:cstheme="majorBidi"/>
          <w:b/>
          <w:bCs/>
          <w:sz w:val="26"/>
          <w:szCs w:val="26"/>
          <w:vertAlign w:val="subscript"/>
        </w:rPr>
        <w:t>1</w:t>
      </w:r>
      <w:r w:rsidRPr="00D31548">
        <w:rPr>
          <w:rFonts w:ascii="Garamond" w:hAnsi="Garamond" w:cstheme="majorBidi"/>
          <w:b/>
          <w:bCs/>
          <w:sz w:val="26"/>
          <w:szCs w:val="26"/>
        </w:rPr>
        <w:t xml:space="preserve"> + b</w:t>
      </w:r>
      <w:r w:rsidRPr="00D31548">
        <w:rPr>
          <w:rFonts w:ascii="Garamond" w:hAnsi="Garamond" w:cstheme="majorBidi"/>
          <w:b/>
          <w:bCs/>
          <w:sz w:val="26"/>
          <w:szCs w:val="26"/>
          <w:vertAlign w:val="subscript"/>
        </w:rPr>
        <w:t>2</w:t>
      </w:r>
      <w:r w:rsidRPr="00D31548">
        <w:rPr>
          <w:rFonts w:ascii="Garamond" w:hAnsi="Garamond" w:cstheme="majorBidi"/>
          <w:b/>
          <w:bCs/>
          <w:sz w:val="26"/>
          <w:szCs w:val="26"/>
        </w:rPr>
        <w:t>X</w:t>
      </w:r>
      <w:r w:rsidRPr="00D31548">
        <w:rPr>
          <w:rFonts w:ascii="Garamond" w:hAnsi="Garamond" w:cstheme="majorBidi"/>
          <w:b/>
          <w:bCs/>
          <w:sz w:val="26"/>
          <w:szCs w:val="26"/>
          <w:vertAlign w:val="subscript"/>
        </w:rPr>
        <w:t>2</w:t>
      </w:r>
      <w:r w:rsidRPr="00D31548">
        <w:rPr>
          <w:rFonts w:ascii="Garamond" w:hAnsi="Garamond" w:cstheme="majorBidi"/>
          <w:b/>
          <w:bCs/>
          <w:sz w:val="26"/>
          <w:szCs w:val="26"/>
        </w:rPr>
        <w:t xml:space="preserve"> + b</w:t>
      </w:r>
      <w:r w:rsidRPr="00D31548">
        <w:rPr>
          <w:rFonts w:ascii="Garamond" w:hAnsi="Garamond" w:cstheme="majorBidi"/>
          <w:b/>
          <w:bCs/>
          <w:sz w:val="26"/>
          <w:szCs w:val="26"/>
          <w:vertAlign w:val="subscript"/>
        </w:rPr>
        <w:t>3</w:t>
      </w:r>
      <w:r w:rsidRPr="00D31548">
        <w:rPr>
          <w:rFonts w:ascii="Garamond" w:hAnsi="Garamond" w:cstheme="majorBidi"/>
          <w:b/>
          <w:bCs/>
          <w:sz w:val="26"/>
          <w:szCs w:val="26"/>
        </w:rPr>
        <w:t>X</w:t>
      </w:r>
      <w:r w:rsidRPr="00D31548">
        <w:rPr>
          <w:rFonts w:ascii="Garamond" w:hAnsi="Garamond" w:cstheme="majorBidi"/>
          <w:b/>
          <w:bCs/>
          <w:sz w:val="26"/>
          <w:szCs w:val="26"/>
          <w:vertAlign w:val="subscript"/>
        </w:rPr>
        <w:t>3</w:t>
      </w:r>
      <w:r w:rsidRPr="00D31548">
        <w:rPr>
          <w:rFonts w:ascii="Garamond" w:hAnsi="Garamond" w:cstheme="majorBidi"/>
          <w:b/>
          <w:bCs/>
          <w:sz w:val="26"/>
          <w:szCs w:val="26"/>
        </w:rPr>
        <w:t xml:space="preserve"> + e</w:t>
      </w:r>
      <w:r w:rsidRPr="00D31548">
        <w:rPr>
          <w:rFonts w:ascii="Garamond" w:hAnsi="Garamond" w:cstheme="majorBidi"/>
          <w:sz w:val="26"/>
          <w:szCs w:val="26"/>
        </w:rPr>
        <w:t>.</w:t>
      </w:r>
    </w:p>
    <w:p w14:paraId="6DD034AD" w14:textId="77777777" w:rsidR="00D31548" w:rsidRPr="00D31548" w:rsidRDefault="00D31548" w:rsidP="00D31548">
      <w:pPr>
        <w:spacing w:line="276" w:lineRule="auto"/>
        <w:jc w:val="both"/>
        <w:rPr>
          <w:rFonts w:ascii="Garamond" w:hAnsi="Garamond" w:cstheme="majorBidi"/>
          <w:sz w:val="26"/>
          <w:szCs w:val="26"/>
        </w:rPr>
      </w:pPr>
      <w:r w:rsidRPr="00D31548">
        <w:rPr>
          <w:rFonts w:ascii="Garamond" w:hAnsi="Garamond" w:cstheme="majorBidi"/>
          <w:sz w:val="26"/>
          <w:szCs w:val="26"/>
        </w:rPr>
        <w:t xml:space="preserve">Where Y is sharia literacy </w:t>
      </w:r>
      <w:proofErr w:type="spellStart"/>
      <w:r w:rsidRPr="00D31548">
        <w:rPr>
          <w:rFonts w:ascii="Garamond" w:hAnsi="Garamond" w:cstheme="majorBidi"/>
          <w:sz w:val="26"/>
          <w:szCs w:val="26"/>
        </w:rPr>
        <w:t>literacy</w:t>
      </w:r>
      <w:proofErr w:type="spellEnd"/>
      <w:r w:rsidRPr="00D31548">
        <w:rPr>
          <w:rFonts w:ascii="Garamond" w:hAnsi="Garamond" w:cstheme="majorBidi"/>
          <w:sz w:val="26"/>
          <w:szCs w:val="26"/>
        </w:rPr>
        <w:t xml:space="preserve"> level, X</w:t>
      </w:r>
      <w:r w:rsidRPr="00D31548">
        <w:rPr>
          <w:rFonts w:ascii="Garamond" w:hAnsi="Garamond" w:cstheme="majorBidi"/>
          <w:sz w:val="26"/>
          <w:szCs w:val="26"/>
          <w:vertAlign w:val="subscript"/>
        </w:rPr>
        <w:t xml:space="preserve">1 </w:t>
      </w:r>
      <w:r w:rsidRPr="00D31548">
        <w:rPr>
          <w:rFonts w:ascii="Garamond" w:hAnsi="Garamond" w:cstheme="majorBidi"/>
          <w:sz w:val="26"/>
          <w:szCs w:val="26"/>
        </w:rPr>
        <w:t>is gender, X</w:t>
      </w:r>
      <w:r w:rsidRPr="00D31548">
        <w:rPr>
          <w:rFonts w:ascii="Garamond" w:hAnsi="Garamond" w:cstheme="majorBidi"/>
          <w:sz w:val="26"/>
          <w:szCs w:val="26"/>
          <w:vertAlign w:val="subscript"/>
        </w:rPr>
        <w:t>2</w:t>
      </w:r>
      <w:r w:rsidRPr="00D31548">
        <w:rPr>
          <w:rFonts w:ascii="Garamond" w:hAnsi="Garamond" w:cstheme="majorBidi"/>
          <w:sz w:val="26"/>
          <w:szCs w:val="26"/>
        </w:rPr>
        <w:t xml:space="preserve"> is marital status, X</w:t>
      </w:r>
      <w:r w:rsidRPr="00D31548">
        <w:rPr>
          <w:rFonts w:ascii="Garamond" w:hAnsi="Garamond" w:cstheme="majorBidi"/>
          <w:sz w:val="26"/>
          <w:szCs w:val="26"/>
          <w:vertAlign w:val="subscript"/>
        </w:rPr>
        <w:t>3</w:t>
      </w:r>
      <w:r w:rsidRPr="00D31548">
        <w:rPr>
          <w:rFonts w:ascii="Garamond" w:hAnsi="Garamond" w:cstheme="majorBidi"/>
          <w:sz w:val="26"/>
          <w:szCs w:val="26"/>
        </w:rPr>
        <w:t xml:space="preserve"> is income </w:t>
      </w:r>
      <w:proofErr w:type="spellStart"/>
      <w:r w:rsidRPr="00D31548">
        <w:rPr>
          <w:rFonts w:ascii="Garamond" w:hAnsi="Garamond" w:cstheme="majorBidi"/>
          <w:sz w:val="26"/>
          <w:szCs w:val="26"/>
        </w:rPr>
        <w:t>permonth</w:t>
      </w:r>
      <w:proofErr w:type="spellEnd"/>
      <w:r w:rsidRPr="00D31548">
        <w:rPr>
          <w:rFonts w:ascii="Garamond" w:hAnsi="Garamond" w:cstheme="majorBidi"/>
          <w:sz w:val="26"/>
          <w:szCs w:val="26"/>
        </w:rPr>
        <w:t>.</w:t>
      </w:r>
    </w:p>
    <w:p w14:paraId="6781BACB"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Hypothesis testing is the F Test (Simultaneous Test) and the T Test (Partial Test). Where the F Test is done by comparing the value of </w:t>
      </w:r>
      <w:proofErr w:type="spellStart"/>
      <w:r w:rsidRPr="00D31548">
        <w:rPr>
          <w:rFonts w:ascii="Garamond" w:hAnsi="Garamond" w:cstheme="majorBidi"/>
          <w:sz w:val="26"/>
          <w:szCs w:val="26"/>
        </w:rPr>
        <w:t>F</w:t>
      </w:r>
      <w:r w:rsidRPr="00D31548">
        <w:rPr>
          <w:rFonts w:ascii="Garamond" w:hAnsi="Garamond" w:cstheme="majorBidi"/>
          <w:sz w:val="26"/>
          <w:szCs w:val="26"/>
          <w:vertAlign w:val="subscript"/>
        </w:rPr>
        <w:t>count</w:t>
      </w:r>
      <w:proofErr w:type="spellEnd"/>
      <w:r w:rsidRPr="00D31548">
        <w:rPr>
          <w:rFonts w:ascii="Garamond" w:hAnsi="Garamond" w:cstheme="majorBidi"/>
          <w:sz w:val="26"/>
          <w:szCs w:val="26"/>
        </w:rPr>
        <w:t xml:space="preserve"> with </w:t>
      </w:r>
      <w:proofErr w:type="spellStart"/>
      <w:r w:rsidRPr="00D31548">
        <w:rPr>
          <w:rFonts w:ascii="Garamond" w:hAnsi="Garamond" w:cstheme="majorBidi"/>
          <w:sz w:val="26"/>
          <w:szCs w:val="26"/>
        </w:rPr>
        <w:t>F</w:t>
      </w:r>
      <w:r w:rsidRPr="00D31548">
        <w:rPr>
          <w:rFonts w:ascii="Garamond" w:hAnsi="Garamond" w:cstheme="majorBidi"/>
          <w:sz w:val="26"/>
          <w:szCs w:val="26"/>
          <w:vertAlign w:val="subscript"/>
        </w:rPr>
        <w:t>table</w:t>
      </w:r>
      <w:proofErr w:type="spellEnd"/>
      <w:r w:rsidRPr="00D31548">
        <w:rPr>
          <w:rFonts w:ascii="Garamond" w:hAnsi="Garamond" w:cstheme="majorBidi"/>
          <w:sz w:val="26"/>
          <w:szCs w:val="26"/>
        </w:rPr>
        <w:t xml:space="preserve"> at a degree of error of 5%. If the </w:t>
      </w:r>
      <w:proofErr w:type="spellStart"/>
      <w:r w:rsidRPr="00D31548">
        <w:rPr>
          <w:rFonts w:ascii="Garamond" w:hAnsi="Garamond" w:cstheme="majorBidi"/>
          <w:sz w:val="26"/>
          <w:szCs w:val="26"/>
        </w:rPr>
        <w:t>F</w:t>
      </w:r>
      <w:r w:rsidRPr="00D31548">
        <w:rPr>
          <w:rFonts w:ascii="Garamond" w:hAnsi="Garamond" w:cstheme="majorBidi"/>
          <w:sz w:val="26"/>
          <w:szCs w:val="26"/>
          <w:vertAlign w:val="subscript"/>
        </w:rPr>
        <w:t>count</w:t>
      </w:r>
      <w:proofErr w:type="spellEnd"/>
      <w:r w:rsidRPr="00D31548">
        <w:rPr>
          <w:rFonts w:ascii="Garamond" w:hAnsi="Garamond" w:cstheme="majorBidi"/>
          <w:sz w:val="26"/>
          <w:szCs w:val="26"/>
          <w:vertAlign w:val="subscript"/>
        </w:rPr>
        <w:t xml:space="preserve"> </w:t>
      </w:r>
      <w:r w:rsidRPr="00D31548">
        <w:rPr>
          <w:rFonts w:ascii="Garamond" w:hAnsi="Garamond" w:cstheme="majorBidi"/>
          <w:sz w:val="26"/>
          <w:szCs w:val="26"/>
        </w:rPr>
        <w:t xml:space="preserve">value ≥ is a </w:t>
      </w:r>
      <w:proofErr w:type="spellStart"/>
      <w:r w:rsidRPr="00D31548">
        <w:rPr>
          <w:rFonts w:ascii="Garamond" w:hAnsi="Garamond" w:cstheme="majorBidi"/>
          <w:sz w:val="26"/>
          <w:szCs w:val="26"/>
        </w:rPr>
        <w:t>F</w:t>
      </w:r>
      <w:r w:rsidRPr="00D31548">
        <w:rPr>
          <w:rFonts w:ascii="Garamond" w:hAnsi="Garamond" w:cstheme="majorBidi"/>
          <w:sz w:val="26"/>
          <w:szCs w:val="26"/>
          <w:vertAlign w:val="subscript"/>
        </w:rPr>
        <w:t>table</w:t>
      </w:r>
      <w:proofErr w:type="spellEnd"/>
      <w:r w:rsidRPr="00D31548">
        <w:rPr>
          <w:rFonts w:ascii="Garamond" w:hAnsi="Garamond" w:cstheme="majorBidi"/>
          <w:sz w:val="26"/>
          <w:szCs w:val="26"/>
        </w:rPr>
        <w:t xml:space="preserve"> value, then the independent variable gives a significant effect on the dependent variable or the first hypothesis is accepted. </w:t>
      </w:r>
      <w:proofErr w:type="gramStart"/>
      <w:r w:rsidRPr="00D31548">
        <w:rPr>
          <w:rFonts w:ascii="Garamond" w:hAnsi="Garamond" w:cstheme="majorBidi"/>
          <w:sz w:val="26"/>
          <w:szCs w:val="26"/>
        </w:rPr>
        <w:t>Likewise</w:t>
      </w:r>
      <w:proofErr w:type="gramEnd"/>
      <w:r w:rsidRPr="00D31548">
        <w:rPr>
          <w:rFonts w:ascii="Garamond" w:hAnsi="Garamond" w:cstheme="majorBidi"/>
          <w:sz w:val="26"/>
          <w:szCs w:val="26"/>
        </w:rPr>
        <w:t xml:space="preserve"> in the T Test, if </w:t>
      </w:r>
      <w:proofErr w:type="spellStart"/>
      <w:r w:rsidRPr="00D31548">
        <w:rPr>
          <w:rFonts w:ascii="Garamond" w:hAnsi="Garamond" w:cstheme="majorBidi"/>
          <w:sz w:val="26"/>
          <w:szCs w:val="26"/>
        </w:rPr>
        <w:t>t</w:t>
      </w:r>
      <w:r w:rsidRPr="00D31548">
        <w:rPr>
          <w:rFonts w:ascii="Garamond" w:hAnsi="Garamond" w:cstheme="majorBidi"/>
          <w:sz w:val="26"/>
          <w:szCs w:val="26"/>
          <w:vertAlign w:val="subscript"/>
        </w:rPr>
        <w:t>count</w:t>
      </w:r>
      <w:proofErr w:type="spellEnd"/>
      <w:r w:rsidRPr="00D31548">
        <w:rPr>
          <w:rFonts w:ascii="Garamond" w:hAnsi="Garamond" w:cstheme="majorBidi"/>
          <w:sz w:val="26"/>
          <w:szCs w:val="26"/>
        </w:rPr>
        <w:t xml:space="preserve"> ≥ </w:t>
      </w:r>
      <w:proofErr w:type="spellStart"/>
      <w:r w:rsidRPr="00D31548">
        <w:rPr>
          <w:rFonts w:ascii="Garamond" w:hAnsi="Garamond" w:cstheme="majorBidi"/>
          <w:sz w:val="26"/>
          <w:szCs w:val="26"/>
        </w:rPr>
        <w:t>t</w:t>
      </w:r>
      <w:r w:rsidRPr="00D31548">
        <w:rPr>
          <w:rFonts w:ascii="Garamond" w:hAnsi="Garamond" w:cstheme="majorBidi"/>
          <w:sz w:val="26"/>
          <w:szCs w:val="26"/>
          <w:vertAlign w:val="subscript"/>
        </w:rPr>
        <w:t>table</w:t>
      </w:r>
      <w:proofErr w:type="spellEnd"/>
      <w:r w:rsidRPr="00D31548">
        <w:rPr>
          <w:rFonts w:ascii="Garamond" w:hAnsi="Garamond" w:cstheme="majorBidi"/>
          <w:sz w:val="26"/>
          <w:szCs w:val="26"/>
        </w:rPr>
        <w:t xml:space="preserve">, then the independent variable gives a significant influence on the dependent variable </w:t>
      </w:r>
      <w:sdt>
        <w:sdtPr>
          <w:rPr>
            <w:rFonts w:ascii="Garamond" w:hAnsi="Garamond" w:cstheme="majorBidi"/>
            <w:sz w:val="26"/>
            <w:szCs w:val="26"/>
          </w:rPr>
          <w:id w:val="-1857492999"/>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Agu151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(Basuki,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5DEC2F62" w14:textId="77777777" w:rsidR="00D31548" w:rsidRPr="00D31548" w:rsidRDefault="00D31548" w:rsidP="00DE35BF">
      <w:pPr>
        <w:spacing w:after="4" w:line="249" w:lineRule="auto"/>
        <w:ind w:left="-5" w:hanging="10"/>
        <w:jc w:val="both"/>
        <w:rPr>
          <w:rFonts w:ascii="Garamond" w:hAnsi="Garamond"/>
          <w:sz w:val="26"/>
          <w:szCs w:val="26"/>
        </w:rPr>
      </w:pPr>
    </w:p>
    <w:p w14:paraId="001B6E6B" w14:textId="15A74F4D" w:rsidR="005B597C" w:rsidRPr="005B597C" w:rsidRDefault="00F36D3A" w:rsidP="00F64A42">
      <w:pPr>
        <w:pStyle w:val="Heading1"/>
        <w:spacing w:before="200" w:line="276" w:lineRule="auto"/>
        <w:ind w:left="0" w:right="556" w:firstLine="0"/>
        <w:rPr>
          <w:rFonts w:ascii="Segoe UI" w:hAnsi="Segoe UI"/>
          <w:b/>
          <w:bCs/>
          <w:sz w:val="26"/>
          <w:szCs w:val="26"/>
          <w:lang w:val="id-ID"/>
        </w:rPr>
      </w:pPr>
      <w:r>
        <w:rPr>
          <w:rFonts w:ascii="Segoe UI" w:hAnsi="Segoe UI"/>
          <w:b/>
          <w:bCs/>
          <w:sz w:val="26"/>
          <w:szCs w:val="26"/>
        </w:rPr>
        <w:t>Result and Discussion</w:t>
      </w:r>
    </w:p>
    <w:p w14:paraId="2E4440B9" w14:textId="49684908" w:rsidR="00D31548" w:rsidRPr="00D31548" w:rsidRDefault="00D31548" w:rsidP="00F36D3A">
      <w:pPr>
        <w:spacing w:before="240" w:line="276" w:lineRule="auto"/>
        <w:rPr>
          <w:rFonts w:ascii="Garamond" w:eastAsia="Palatino Linotype" w:hAnsi="Garamond"/>
          <w:b/>
          <w:sz w:val="26"/>
          <w:szCs w:val="26"/>
        </w:rPr>
      </w:pPr>
      <w:r w:rsidRPr="00D31548">
        <w:rPr>
          <w:rFonts w:ascii="Garamond" w:eastAsia="Palatino Linotype" w:hAnsi="Garamond"/>
          <w:b/>
          <w:sz w:val="26"/>
          <w:szCs w:val="26"/>
        </w:rPr>
        <w:t>Instrument Research Test</w:t>
      </w:r>
    </w:p>
    <w:p w14:paraId="0B73C39D" w14:textId="77777777" w:rsidR="00D31548" w:rsidRPr="00D31548" w:rsidRDefault="00D31548" w:rsidP="00F36D3A">
      <w:pPr>
        <w:spacing w:line="276" w:lineRule="auto"/>
        <w:rPr>
          <w:rFonts w:ascii="Garamond" w:hAnsi="Garamond" w:cstheme="majorBidi"/>
          <w:b/>
          <w:sz w:val="26"/>
          <w:szCs w:val="26"/>
        </w:rPr>
      </w:pPr>
      <w:r w:rsidRPr="00D31548">
        <w:rPr>
          <w:rFonts w:ascii="Garamond" w:hAnsi="Garamond" w:cstheme="majorBidi"/>
          <w:b/>
          <w:sz w:val="26"/>
          <w:szCs w:val="26"/>
        </w:rPr>
        <w:t>Validity Test</w:t>
      </w:r>
    </w:p>
    <w:p w14:paraId="73241FAB" w14:textId="72E20FE5" w:rsid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Questions listed on the questionnaire must be known whether </w:t>
      </w:r>
      <w:r w:rsidR="00F36D3A">
        <w:rPr>
          <w:rFonts w:ascii="Garamond" w:hAnsi="Garamond" w:cstheme="majorBidi"/>
          <w:sz w:val="26"/>
          <w:szCs w:val="26"/>
        </w:rPr>
        <w:t xml:space="preserve">valid </w:t>
      </w:r>
      <w:r w:rsidRPr="00D31548">
        <w:rPr>
          <w:rFonts w:ascii="Garamond" w:hAnsi="Garamond" w:cstheme="majorBidi"/>
          <w:sz w:val="26"/>
          <w:szCs w:val="26"/>
        </w:rPr>
        <w:t>or not valid through the corrected item correlation column in the SPSS 16 application. It is said to be valid if all items (r) with a total score of each variable are greater than 0.25. In the table below it can be seen that the scores of all variables (r) are greater than 0.25 after the validity test.</w:t>
      </w:r>
    </w:p>
    <w:p w14:paraId="6588ADB0" w14:textId="477C2F8D" w:rsidR="00F36D3A" w:rsidRDefault="00F36D3A" w:rsidP="00D31548">
      <w:pPr>
        <w:spacing w:line="276" w:lineRule="auto"/>
        <w:ind w:firstLine="720"/>
        <w:jc w:val="both"/>
        <w:rPr>
          <w:rFonts w:ascii="Garamond" w:hAnsi="Garamond" w:cstheme="majorBidi"/>
          <w:sz w:val="26"/>
          <w:szCs w:val="26"/>
        </w:rPr>
      </w:pPr>
    </w:p>
    <w:p w14:paraId="0238FC4F" w14:textId="77777777" w:rsidR="00F36D3A" w:rsidRPr="00D31548" w:rsidRDefault="00F36D3A" w:rsidP="00D31548">
      <w:pPr>
        <w:spacing w:line="276" w:lineRule="auto"/>
        <w:ind w:firstLine="720"/>
        <w:jc w:val="both"/>
        <w:rPr>
          <w:rFonts w:ascii="Garamond" w:hAnsi="Garamond" w:cstheme="majorBidi"/>
          <w:sz w:val="26"/>
          <w:szCs w:val="26"/>
        </w:rPr>
      </w:pPr>
    </w:p>
    <w:p w14:paraId="4BDFE7D2" w14:textId="77777777" w:rsidR="00D31548" w:rsidRPr="00D31548" w:rsidRDefault="00D31548" w:rsidP="00D31548">
      <w:pPr>
        <w:spacing w:line="276" w:lineRule="auto"/>
        <w:jc w:val="center"/>
        <w:rPr>
          <w:rFonts w:ascii="Garamond" w:hAnsi="Garamond" w:cstheme="majorBidi"/>
          <w:sz w:val="26"/>
          <w:szCs w:val="26"/>
        </w:rPr>
      </w:pPr>
      <w:r w:rsidRPr="00D31548">
        <w:rPr>
          <w:rFonts w:ascii="Garamond" w:hAnsi="Garamond" w:cstheme="majorBidi"/>
          <w:sz w:val="26"/>
          <w:szCs w:val="26"/>
        </w:rPr>
        <w:lastRenderedPageBreak/>
        <w:t>Table 1</w:t>
      </w:r>
    </w:p>
    <w:p w14:paraId="67CD3123"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Validity Test Result</w:t>
      </w:r>
    </w:p>
    <w:tbl>
      <w:tblPr>
        <w:tblStyle w:val="TableGrid"/>
        <w:tblW w:w="0" w:type="auto"/>
        <w:jc w:val="center"/>
        <w:tblLook w:val="04A0" w:firstRow="1" w:lastRow="0" w:firstColumn="1" w:lastColumn="0" w:noHBand="0" w:noVBand="1"/>
      </w:tblPr>
      <w:tblGrid>
        <w:gridCol w:w="4045"/>
        <w:gridCol w:w="1980"/>
        <w:gridCol w:w="1484"/>
      </w:tblGrid>
      <w:tr w:rsidR="00D31548" w:rsidRPr="00D31548" w14:paraId="1A94E29A" w14:textId="77777777" w:rsidTr="00D31548">
        <w:trPr>
          <w:jc w:val="center"/>
        </w:trPr>
        <w:tc>
          <w:tcPr>
            <w:tcW w:w="4045" w:type="dxa"/>
          </w:tcPr>
          <w:p w14:paraId="45E3015A"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r w:rsidRPr="00D31548">
              <w:rPr>
                <w:rFonts w:ascii="Garamond" w:hAnsi="Garamond" w:cstheme="majorBidi"/>
                <w:b/>
                <w:bCs/>
                <w:sz w:val="26"/>
                <w:szCs w:val="26"/>
              </w:rPr>
              <w:t>Item</w:t>
            </w:r>
          </w:p>
        </w:tc>
        <w:tc>
          <w:tcPr>
            <w:tcW w:w="1980" w:type="dxa"/>
          </w:tcPr>
          <w:p w14:paraId="30B7BA47"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r w:rsidRPr="00D31548">
              <w:rPr>
                <w:rFonts w:ascii="Garamond" w:hAnsi="Garamond" w:cstheme="majorBidi"/>
                <w:b/>
                <w:bCs/>
                <w:sz w:val="26"/>
                <w:szCs w:val="26"/>
              </w:rPr>
              <w:t>Corrected Item Correlation</w:t>
            </w:r>
          </w:p>
        </w:tc>
        <w:tc>
          <w:tcPr>
            <w:tcW w:w="1336" w:type="dxa"/>
          </w:tcPr>
          <w:p w14:paraId="137214CE"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proofErr w:type="spellStart"/>
            <w:r w:rsidRPr="00D31548">
              <w:rPr>
                <w:rFonts w:ascii="Garamond" w:hAnsi="Garamond" w:cstheme="majorBidi"/>
                <w:b/>
                <w:bCs/>
                <w:sz w:val="26"/>
                <w:szCs w:val="26"/>
              </w:rPr>
              <w:t>Keterangan</w:t>
            </w:r>
            <w:proofErr w:type="spellEnd"/>
          </w:p>
        </w:tc>
      </w:tr>
      <w:tr w:rsidR="00D31548" w:rsidRPr="00D31548" w14:paraId="671B6E86" w14:textId="77777777" w:rsidTr="00D31548">
        <w:trPr>
          <w:jc w:val="center"/>
        </w:trPr>
        <w:tc>
          <w:tcPr>
            <w:tcW w:w="4045" w:type="dxa"/>
          </w:tcPr>
          <w:p w14:paraId="5CC5F786"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Personal Financial Knowledge</w:t>
            </w:r>
          </w:p>
        </w:tc>
        <w:tc>
          <w:tcPr>
            <w:tcW w:w="1980" w:type="dxa"/>
          </w:tcPr>
          <w:p w14:paraId="31B5B7C2"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0,795</w:t>
            </w:r>
          </w:p>
        </w:tc>
        <w:tc>
          <w:tcPr>
            <w:tcW w:w="1336" w:type="dxa"/>
          </w:tcPr>
          <w:p w14:paraId="23574C6B"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07CC4396" w14:textId="77777777" w:rsidTr="00D31548">
        <w:trPr>
          <w:jc w:val="center"/>
        </w:trPr>
        <w:tc>
          <w:tcPr>
            <w:tcW w:w="4045" w:type="dxa"/>
          </w:tcPr>
          <w:p w14:paraId="226BF9BA"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Investment</w:t>
            </w:r>
          </w:p>
        </w:tc>
        <w:tc>
          <w:tcPr>
            <w:tcW w:w="1980" w:type="dxa"/>
          </w:tcPr>
          <w:p w14:paraId="23580F64"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0,753</w:t>
            </w:r>
          </w:p>
        </w:tc>
        <w:tc>
          <w:tcPr>
            <w:tcW w:w="1336" w:type="dxa"/>
          </w:tcPr>
          <w:p w14:paraId="0453395C"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0223208F" w14:textId="77777777" w:rsidTr="00D31548">
        <w:trPr>
          <w:jc w:val="center"/>
        </w:trPr>
        <w:tc>
          <w:tcPr>
            <w:tcW w:w="4045" w:type="dxa"/>
          </w:tcPr>
          <w:p w14:paraId="424977B5"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Saving and Borrowing</w:t>
            </w:r>
          </w:p>
        </w:tc>
        <w:tc>
          <w:tcPr>
            <w:tcW w:w="1980" w:type="dxa"/>
          </w:tcPr>
          <w:p w14:paraId="178226A9"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0,833</w:t>
            </w:r>
          </w:p>
        </w:tc>
        <w:tc>
          <w:tcPr>
            <w:tcW w:w="1336" w:type="dxa"/>
          </w:tcPr>
          <w:p w14:paraId="7711D4F1"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4EE8D6DD" w14:textId="77777777" w:rsidTr="00D31548">
        <w:trPr>
          <w:jc w:val="center"/>
        </w:trPr>
        <w:tc>
          <w:tcPr>
            <w:tcW w:w="4045" w:type="dxa"/>
          </w:tcPr>
          <w:p w14:paraId="18A4BCEF"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Insurance</w:t>
            </w:r>
          </w:p>
        </w:tc>
        <w:tc>
          <w:tcPr>
            <w:tcW w:w="1980" w:type="dxa"/>
          </w:tcPr>
          <w:p w14:paraId="02F0CC09"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0,735</w:t>
            </w:r>
          </w:p>
        </w:tc>
        <w:tc>
          <w:tcPr>
            <w:tcW w:w="1336" w:type="dxa"/>
          </w:tcPr>
          <w:p w14:paraId="6AD02A04"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121E917E" w14:textId="77777777" w:rsidTr="00D31548">
        <w:trPr>
          <w:jc w:val="center"/>
        </w:trPr>
        <w:tc>
          <w:tcPr>
            <w:tcW w:w="4045" w:type="dxa"/>
          </w:tcPr>
          <w:p w14:paraId="5587ACFB"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Knowledge of Financial Institutions</w:t>
            </w:r>
          </w:p>
        </w:tc>
        <w:tc>
          <w:tcPr>
            <w:tcW w:w="1980" w:type="dxa"/>
          </w:tcPr>
          <w:p w14:paraId="51040B13"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0,825</w:t>
            </w:r>
          </w:p>
        </w:tc>
        <w:tc>
          <w:tcPr>
            <w:tcW w:w="1336" w:type="dxa"/>
          </w:tcPr>
          <w:p w14:paraId="2329B557"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bl>
    <w:p w14:paraId="39C03BCE" w14:textId="77777777" w:rsidR="00D31548" w:rsidRPr="00D31548" w:rsidRDefault="00D31548" w:rsidP="00D31548">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1EC32E0C" w14:textId="77777777" w:rsidR="00D31548" w:rsidRPr="00D31548" w:rsidRDefault="00D31548" w:rsidP="00D31548">
      <w:pPr>
        <w:spacing w:line="276" w:lineRule="auto"/>
        <w:rPr>
          <w:rFonts w:ascii="Garamond" w:hAnsi="Garamond" w:cstheme="majorBidi"/>
          <w:b/>
          <w:sz w:val="26"/>
          <w:szCs w:val="26"/>
        </w:rPr>
      </w:pPr>
    </w:p>
    <w:p w14:paraId="40CA3E87" w14:textId="77777777" w:rsidR="00D31548" w:rsidRPr="00D31548" w:rsidRDefault="00D31548" w:rsidP="00D31548">
      <w:pPr>
        <w:spacing w:line="276" w:lineRule="auto"/>
        <w:rPr>
          <w:rFonts w:ascii="Garamond" w:hAnsi="Garamond" w:cstheme="majorBidi"/>
          <w:b/>
          <w:sz w:val="26"/>
          <w:szCs w:val="26"/>
        </w:rPr>
      </w:pPr>
      <w:proofErr w:type="spellStart"/>
      <w:r w:rsidRPr="00D31548">
        <w:rPr>
          <w:rFonts w:ascii="Garamond" w:hAnsi="Garamond" w:cstheme="majorBidi"/>
          <w:b/>
          <w:sz w:val="26"/>
          <w:szCs w:val="26"/>
        </w:rPr>
        <w:t>Reliablility</w:t>
      </w:r>
      <w:proofErr w:type="spellEnd"/>
      <w:r w:rsidRPr="00D31548">
        <w:rPr>
          <w:rFonts w:ascii="Garamond" w:hAnsi="Garamond" w:cstheme="majorBidi"/>
          <w:b/>
          <w:sz w:val="26"/>
          <w:szCs w:val="26"/>
        </w:rPr>
        <w:t xml:space="preserve"> Test</w:t>
      </w:r>
    </w:p>
    <w:p w14:paraId="29CD956A"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In this study the reliability measurement is done by looking at the Cronbach alpha value. If the Cronbach alpha value is greater than 0.70 then the instrument can be said to be reliable, so even if Cronbach alpha is smaller than 0.70 then the instrument is declared not reliable. The following are the results of the reliability test of the research instrument:</w:t>
      </w:r>
    </w:p>
    <w:p w14:paraId="4EE9CB37"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2</w:t>
      </w:r>
    </w:p>
    <w:p w14:paraId="7A25D04C"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Reliability Test Result</w:t>
      </w:r>
    </w:p>
    <w:tbl>
      <w:tblPr>
        <w:tblStyle w:val="TableGrid"/>
        <w:tblW w:w="0" w:type="auto"/>
        <w:jc w:val="center"/>
        <w:tblLook w:val="04A0" w:firstRow="1" w:lastRow="0" w:firstColumn="1" w:lastColumn="0" w:noHBand="0" w:noVBand="1"/>
      </w:tblPr>
      <w:tblGrid>
        <w:gridCol w:w="3865"/>
        <w:gridCol w:w="2160"/>
        <w:gridCol w:w="1484"/>
      </w:tblGrid>
      <w:tr w:rsidR="00D31548" w:rsidRPr="00D31548" w14:paraId="338466EF" w14:textId="77777777" w:rsidTr="00D31548">
        <w:trPr>
          <w:jc w:val="center"/>
        </w:trPr>
        <w:tc>
          <w:tcPr>
            <w:tcW w:w="3865" w:type="dxa"/>
          </w:tcPr>
          <w:p w14:paraId="17B4F337"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r w:rsidRPr="00D31548">
              <w:rPr>
                <w:rFonts w:ascii="Garamond" w:hAnsi="Garamond" w:cstheme="majorBidi"/>
                <w:b/>
                <w:bCs/>
                <w:sz w:val="26"/>
                <w:szCs w:val="26"/>
              </w:rPr>
              <w:t>Item</w:t>
            </w:r>
          </w:p>
        </w:tc>
        <w:tc>
          <w:tcPr>
            <w:tcW w:w="2160" w:type="dxa"/>
          </w:tcPr>
          <w:p w14:paraId="13E34559"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proofErr w:type="spellStart"/>
            <w:r w:rsidRPr="00D31548">
              <w:rPr>
                <w:rFonts w:ascii="Garamond" w:hAnsi="Garamond" w:cstheme="majorBidi"/>
                <w:b/>
                <w:bCs/>
                <w:sz w:val="26"/>
                <w:szCs w:val="26"/>
              </w:rPr>
              <w:t>Koefisien</w:t>
            </w:r>
            <w:proofErr w:type="spellEnd"/>
            <w:r w:rsidRPr="00D31548">
              <w:rPr>
                <w:rFonts w:ascii="Garamond" w:hAnsi="Garamond" w:cstheme="majorBidi"/>
                <w:b/>
                <w:bCs/>
                <w:sz w:val="26"/>
                <w:szCs w:val="26"/>
              </w:rPr>
              <w:t xml:space="preserve"> </w:t>
            </w:r>
            <w:r w:rsidRPr="00D31548">
              <w:rPr>
                <w:rFonts w:ascii="Garamond" w:hAnsi="Garamond" w:cstheme="majorBidi"/>
                <w:b/>
                <w:bCs/>
                <w:i/>
                <w:sz w:val="26"/>
                <w:szCs w:val="26"/>
              </w:rPr>
              <w:t>Cronbach’s Alpha</w:t>
            </w:r>
          </w:p>
        </w:tc>
        <w:tc>
          <w:tcPr>
            <w:tcW w:w="1336" w:type="dxa"/>
          </w:tcPr>
          <w:p w14:paraId="10E81BEF" w14:textId="77777777" w:rsidR="00D31548" w:rsidRPr="00D31548" w:rsidRDefault="00D31548" w:rsidP="00D31548">
            <w:pPr>
              <w:pStyle w:val="ListParagraph"/>
              <w:spacing w:after="0" w:line="240" w:lineRule="auto"/>
              <w:ind w:left="0"/>
              <w:jc w:val="center"/>
              <w:rPr>
                <w:rFonts w:ascii="Garamond" w:hAnsi="Garamond" w:cstheme="majorBidi"/>
                <w:b/>
                <w:bCs/>
                <w:sz w:val="26"/>
                <w:szCs w:val="26"/>
              </w:rPr>
            </w:pPr>
            <w:proofErr w:type="spellStart"/>
            <w:r w:rsidRPr="00D31548">
              <w:rPr>
                <w:rFonts w:ascii="Garamond" w:hAnsi="Garamond" w:cstheme="majorBidi"/>
                <w:b/>
                <w:bCs/>
                <w:sz w:val="26"/>
                <w:szCs w:val="26"/>
              </w:rPr>
              <w:t>Keterangan</w:t>
            </w:r>
            <w:proofErr w:type="spellEnd"/>
          </w:p>
        </w:tc>
      </w:tr>
      <w:tr w:rsidR="00D31548" w:rsidRPr="00D31548" w14:paraId="7D9F962E" w14:textId="77777777" w:rsidTr="00D31548">
        <w:trPr>
          <w:jc w:val="center"/>
        </w:trPr>
        <w:tc>
          <w:tcPr>
            <w:tcW w:w="3865" w:type="dxa"/>
          </w:tcPr>
          <w:p w14:paraId="796DA0C2"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Personal Financial Knowledge</w:t>
            </w:r>
          </w:p>
        </w:tc>
        <w:tc>
          <w:tcPr>
            <w:tcW w:w="2160" w:type="dxa"/>
          </w:tcPr>
          <w:p w14:paraId="7DBD2CAE"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0,760</w:t>
            </w:r>
          </w:p>
        </w:tc>
        <w:tc>
          <w:tcPr>
            <w:tcW w:w="1336" w:type="dxa"/>
          </w:tcPr>
          <w:p w14:paraId="5D68194D"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5DFB1CCF" w14:textId="77777777" w:rsidTr="00D31548">
        <w:trPr>
          <w:jc w:val="center"/>
        </w:trPr>
        <w:tc>
          <w:tcPr>
            <w:tcW w:w="3865" w:type="dxa"/>
          </w:tcPr>
          <w:p w14:paraId="6E516289"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Investment</w:t>
            </w:r>
          </w:p>
        </w:tc>
        <w:tc>
          <w:tcPr>
            <w:tcW w:w="2160" w:type="dxa"/>
          </w:tcPr>
          <w:p w14:paraId="433E1D7A"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0,773</w:t>
            </w:r>
          </w:p>
        </w:tc>
        <w:tc>
          <w:tcPr>
            <w:tcW w:w="1336" w:type="dxa"/>
          </w:tcPr>
          <w:p w14:paraId="40FDA6F7"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3A64E334" w14:textId="77777777" w:rsidTr="00D31548">
        <w:trPr>
          <w:jc w:val="center"/>
        </w:trPr>
        <w:tc>
          <w:tcPr>
            <w:tcW w:w="3865" w:type="dxa"/>
          </w:tcPr>
          <w:p w14:paraId="058D0B31"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Saving and Borrowing</w:t>
            </w:r>
          </w:p>
        </w:tc>
        <w:tc>
          <w:tcPr>
            <w:tcW w:w="2160" w:type="dxa"/>
          </w:tcPr>
          <w:p w14:paraId="0EF3100D"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0,750</w:t>
            </w:r>
          </w:p>
        </w:tc>
        <w:tc>
          <w:tcPr>
            <w:tcW w:w="1336" w:type="dxa"/>
          </w:tcPr>
          <w:p w14:paraId="1DBB6D82"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0A098513" w14:textId="77777777" w:rsidTr="00D31548">
        <w:trPr>
          <w:jc w:val="center"/>
        </w:trPr>
        <w:tc>
          <w:tcPr>
            <w:tcW w:w="3865" w:type="dxa"/>
          </w:tcPr>
          <w:p w14:paraId="4B6D0699"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Insurance</w:t>
            </w:r>
          </w:p>
        </w:tc>
        <w:tc>
          <w:tcPr>
            <w:tcW w:w="2160" w:type="dxa"/>
          </w:tcPr>
          <w:p w14:paraId="30A30B14"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0,777</w:t>
            </w:r>
          </w:p>
        </w:tc>
        <w:tc>
          <w:tcPr>
            <w:tcW w:w="1336" w:type="dxa"/>
          </w:tcPr>
          <w:p w14:paraId="79ECBC87"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r w:rsidR="00D31548" w:rsidRPr="00D31548" w14:paraId="5D464CD6" w14:textId="77777777" w:rsidTr="00D31548">
        <w:trPr>
          <w:jc w:val="center"/>
        </w:trPr>
        <w:tc>
          <w:tcPr>
            <w:tcW w:w="3865" w:type="dxa"/>
          </w:tcPr>
          <w:p w14:paraId="2A42F176" w14:textId="77777777" w:rsidR="00D31548" w:rsidRPr="00D31548" w:rsidRDefault="00D31548" w:rsidP="00D31548">
            <w:pPr>
              <w:pStyle w:val="ListParagraph"/>
              <w:spacing w:after="0" w:line="240" w:lineRule="auto"/>
              <w:ind w:left="0"/>
              <w:rPr>
                <w:rFonts w:ascii="Garamond" w:hAnsi="Garamond" w:cstheme="majorBidi"/>
                <w:sz w:val="26"/>
                <w:szCs w:val="26"/>
              </w:rPr>
            </w:pPr>
            <w:r w:rsidRPr="00D31548">
              <w:rPr>
                <w:rFonts w:ascii="Garamond" w:hAnsi="Garamond" w:cstheme="majorBidi"/>
                <w:sz w:val="26"/>
                <w:szCs w:val="26"/>
              </w:rPr>
              <w:t>Knowledge of Financial Institutions</w:t>
            </w:r>
          </w:p>
        </w:tc>
        <w:tc>
          <w:tcPr>
            <w:tcW w:w="2160" w:type="dxa"/>
          </w:tcPr>
          <w:p w14:paraId="65360140"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0,774</w:t>
            </w:r>
          </w:p>
        </w:tc>
        <w:tc>
          <w:tcPr>
            <w:tcW w:w="1336" w:type="dxa"/>
          </w:tcPr>
          <w:p w14:paraId="63DAD5BB" w14:textId="77777777" w:rsidR="00D31548" w:rsidRPr="00D31548" w:rsidRDefault="00D31548" w:rsidP="00D31548">
            <w:pPr>
              <w:pStyle w:val="ListParagraph"/>
              <w:spacing w:after="0" w:line="240" w:lineRule="auto"/>
              <w:ind w:left="0"/>
              <w:jc w:val="center"/>
              <w:rPr>
                <w:rFonts w:ascii="Garamond" w:hAnsi="Garamond" w:cstheme="majorBidi"/>
                <w:sz w:val="26"/>
                <w:szCs w:val="26"/>
              </w:rPr>
            </w:pPr>
            <w:r w:rsidRPr="00D31548">
              <w:rPr>
                <w:rFonts w:ascii="Garamond" w:hAnsi="Garamond" w:cstheme="majorBidi"/>
                <w:sz w:val="26"/>
                <w:szCs w:val="26"/>
              </w:rPr>
              <w:t>Valid</w:t>
            </w:r>
          </w:p>
        </w:tc>
      </w:tr>
    </w:tbl>
    <w:p w14:paraId="6CFE88C7" w14:textId="77777777" w:rsidR="00D31548" w:rsidRPr="00D31548" w:rsidRDefault="00D31548" w:rsidP="00D31548">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7BD22EBA" w14:textId="77777777" w:rsidR="00D31548" w:rsidRPr="00D31548" w:rsidRDefault="00D31548" w:rsidP="00D31548">
      <w:pPr>
        <w:spacing w:line="276" w:lineRule="auto"/>
        <w:ind w:firstLine="720"/>
        <w:jc w:val="both"/>
        <w:rPr>
          <w:rFonts w:ascii="Garamond" w:hAnsi="Garamond" w:cstheme="majorBidi"/>
          <w:sz w:val="26"/>
          <w:szCs w:val="26"/>
        </w:rPr>
      </w:pPr>
    </w:p>
    <w:p w14:paraId="4957A043"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From the table above it can be seen that all research instruments are said to be reliable because what Cronbach alpha value is at a value greater than 0.70, so there is no research instrument that must be deleted.</w:t>
      </w:r>
    </w:p>
    <w:p w14:paraId="006B1BE7" w14:textId="26D27283"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Regression Analysis</w:t>
      </w:r>
    </w:p>
    <w:p w14:paraId="281A1EBF"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bCs/>
          <w:sz w:val="26"/>
          <w:szCs w:val="26"/>
        </w:rPr>
        <w:t>T</w:t>
      </w:r>
      <w:r w:rsidRPr="00D31548">
        <w:rPr>
          <w:rFonts w:ascii="Garamond" w:hAnsi="Garamond" w:cstheme="majorBidi"/>
          <w:sz w:val="26"/>
          <w:szCs w:val="26"/>
        </w:rPr>
        <w:t xml:space="preserve">his study examines the effect of each independent variable, namely gender, marital status, and income </w:t>
      </w:r>
      <w:proofErr w:type="spellStart"/>
      <w:r w:rsidRPr="00D31548">
        <w:rPr>
          <w:rFonts w:ascii="Garamond" w:hAnsi="Garamond" w:cstheme="majorBidi"/>
          <w:sz w:val="26"/>
          <w:szCs w:val="26"/>
        </w:rPr>
        <w:t>permonth</w:t>
      </w:r>
      <w:proofErr w:type="spellEnd"/>
      <w:r w:rsidRPr="00D31548">
        <w:rPr>
          <w:rFonts w:ascii="Garamond" w:hAnsi="Garamond" w:cstheme="majorBidi"/>
          <w:sz w:val="26"/>
          <w:szCs w:val="26"/>
        </w:rPr>
        <w:t xml:space="preserve"> on the dependent variable, namely the level of sharia financial literacy 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from the period 2010 - 2015.</w:t>
      </w:r>
    </w:p>
    <w:p w14:paraId="0D1A5737"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first analysis conducted is to test the coefficient of determination in the R square column. Through the table below it can be seen that the R square of 0.075 which means that the variables of gender, marital status and income per month can explain the </w:t>
      </w:r>
      <w:r w:rsidRPr="00D31548">
        <w:rPr>
          <w:rFonts w:ascii="Garamond" w:hAnsi="Garamond" w:cstheme="majorBidi"/>
          <w:sz w:val="26"/>
          <w:szCs w:val="26"/>
        </w:rPr>
        <w:lastRenderedPageBreak/>
        <w:t>level of awareness of Islamic financial literacy of 7.5 percent, the rest is influenced by variables outside the model. R square value of 7.5 percent can be said to be very small.</w:t>
      </w:r>
    </w:p>
    <w:p w14:paraId="30681D43" w14:textId="5F340C22" w:rsidR="00D31548" w:rsidRPr="00D31548"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This can occur one of the reasons is because it is still rare and lack of research that discusses financial literacy, especially sharia financial literacy. In fact, the Financial Services Authority was just beginning to bloom or started to do research on Islamic financial literacy in 2016.</w:t>
      </w:r>
    </w:p>
    <w:p w14:paraId="25376038"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3</w:t>
      </w:r>
    </w:p>
    <w:p w14:paraId="587305C1"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Determination Coefficient Test Results</w:t>
      </w:r>
    </w:p>
    <w:tbl>
      <w:tblPr>
        <w:tblpPr w:leftFromText="180" w:rightFromText="180" w:vertAnchor="text" w:horzAnchor="margin" w:tblpXSpec="center" w:tblpY="23"/>
        <w:tblW w:w="73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717"/>
        <w:gridCol w:w="647"/>
        <w:gridCol w:w="1066"/>
        <w:gridCol w:w="1257"/>
        <w:gridCol w:w="1623"/>
        <w:gridCol w:w="2061"/>
      </w:tblGrid>
      <w:tr w:rsidR="00D31548" w:rsidRPr="00D31548" w14:paraId="2A3BF355" w14:textId="77777777" w:rsidTr="00D31548">
        <w:trPr>
          <w:cantSplit/>
          <w:tblHeader/>
        </w:trPr>
        <w:tc>
          <w:tcPr>
            <w:tcW w:w="717" w:type="dxa"/>
            <w:shd w:val="clear" w:color="auto" w:fill="FFFFFF"/>
            <w:tcMar>
              <w:top w:w="30" w:type="dxa"/>
              <w:left w:w="30" w:type="dxa"/>
              <w:bottom w:w="30" w:type="dxa"/>
              <w:right w:w="30" w:type="dxa"/>
            </w:tcMar>
            <w:vAlign w:val="bottom"/>
          </w:tcPr>
          <w:p w14:paraId="4FB0ACE8"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Model</w:t>
            </w:r>
          </w:p>
        </w:tc>
        <w:tc>
          <w:tcPr>
            <w:tcW w:w="647" w:type="dxa"/>
            <w:shd w:val="clear" w:color="auto" w:fill="FFFFFF"/>
            <w:tcMar>
              <w:top w:w="30" w:type="dxa"/>
              <w:left w:w="30" w:type="dxa"/>
              <w:bottom w:w="30" w:type="dxa"/>
              <w:right w:w="30" w:type="dxa"/>
            </w:tcMar>
            <w:vAlign w:val="bottom"/>
          </w:tcPr>
          <w:p w14:paraId="47E61A6B"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R</w:t>
            </w:r>
          </w:p>
        </w:tc>
        <w:tc>
          <w:tcPr>
            <w:tcW w:w="1066" w:type="dxa"/>
            <w:shd w:val="clear" w:color="auto" w:fill="FFFFFF"/>
            <w:tcMar>
              <w:top w:w="30" w:type="dxa"/>
              <w:left w:w="30" w:type="dxa"/>
              <w:bottom w:w="30" w:type="dxa"/>
              <w:right w:w="30" w:type="dxa"/>
            </w:tcMar>
            <w:vAlign w:val="bottom"/>
          </w:tcPr>
          <w:p w14:paraId="6190686A"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R Square</w:t>
            </w:r>
          </w:p>
        </w:tc>
        <w:tc>
          <w:tcPr>
            <w:tcW w:w="1257" w:type="dxa"/>
            <w:shd w:val="clear" w:color="auto" w:fill="FFFFFF"/>
            <w:tcMar>
              <w:top w:w="30" w:type="dxa"/>
              <w:left w:w="30" w:type="dxa"/>
              <w:bottom w:w="30" w:type="dxa"/>
              <w:right w:w="30" w:type="dxa"/>
            </w:tcMar>
            <w:vAlign w:val="bottom"/>
          </w:tcPr>
          <w:p w14:paraId="7C0299C6"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Adjusted R Square</w:t>
            </w:r>
          </w:p>
        </w:tc>
        <w:tc>
          <w:tcPr>
            <w:tcW w:w="1623" w:type="dxa"/>
            <w:shd w:val="clear" w:color="auto" w:fill="FFFFFF"/>
            <w:tcMar>
              <w:top w:w="30" w:type="dxa"/>
              <w:left w:w="30" w:type="dxa"/>
              <w:bottom w:w="30" w:type="dxa"/>
              <w:right w:w="30" w:type="dxa"/>
            </w:tcMar>
            <w:vAlign w:val="bottom"/>
          </w:tcPr>
          <w:p w14:paraId="0AD2370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Std. Error of the Estimate</w:t>
            </w:r>
          </w:p>
        </w:tc>
        <w:tc>
          <w:tcPr>
            <w:tcW w:w="2061" w:type="dxa"/>
            <w:shd w:val="clear" w:color="auto" w:fill="FFFFFF"/>
            <w:tcMar>
              <w:top w:w="30" w:type="dxa"/>
              <w:left w:w="30" w:type="dxa"/>
              <w:bottom w:w="30" w:type="dxa"/>
              <w:right w:w="30" w:type="dxa"/>
            </w:tcMar>
            <w:vAlign w:val="bottom"/>
          </w:tcPr>
          <w:p w14:paraId="3D95787C"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Durbin-Watson</w:t>
            </w:r>
          </w:p>
        </w:tc>
      </w:tr>
      <w:tr w:rsidR="00D31548" w:rsidRPr="00D31548" w14:paraId="23404699" w14:textId="77777777" w:rsidTr="00D31548">
        <w:trPr>
          <w:cantSplit/>
          <w:tblHeader/>
        </w:trPr>
        <w:tc>
          <w:tcPr>
            <w:tcW w:w="717" w:type="dxa"/>
            <w:shd w:val="clear" w:color="auto" w:fill="FFFFFF"/>
            <w:tcMar>
              <w:top w:w="30" w:type="dxa"/>
              <w:left w:w="30" w:type="dxa"/>
              <w:bottom w:w="30" w:type="dxa"/>
              <w:right w:w="30" w:type="dxa"/>
            </w:tcMar>
          </w:tcPr>
          <w:p w14:paraId="58F2C5E4"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1</w:t>
            </w:r>
          </w:p>
        </w:tc>
        <w:tc>
          <w:tcPr>
            <w:tcW w:w="647" w:type="dxa"/>
            <w:shd w:val="clear" w:color="auto" w:fill="FFFFFF"/>
            <w:tcMar>
              <w:top w:w="30" w:type="dxa"/>
              <w:left w:w="30" w:type="dxa"/>
              <w:bottom w:w="30" w:type="dxa"/>
              <w:right w:w="30" w:type="dxa"/>
            </w:tcMar>
            <w:vAlign w:val="center"/>
          </w:tcPr>
          <w:p w14:paraId="749E96A3"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.274</w:t>
            </w:r>
            <w:r w:rsidRPr="00D31548">
              <w:rPr>
                <w:rFonts w:ascii="Garamond" w:hAnsi="Garamond" w:cstheme="majorBidi"/>
                <w:color w:val="000000"/>
                <w:sz w:val="26"/>
                <w:szCs w:val="26"/>
                <w:vertAlign w:val="superscript"/>
              </w:rPr>
              <w:t>a</w:t>
            </w:r>
          </w:p>
        </w:tc>
        <w:tc>
          <w:tcPr>
            <w:tcW w:w="1066" w:type="dxa"/>
            <w:shd w:val="clear" w:color="auto" w:fill="FFFFFF"/>
            <w:tcMar>
              <w:top w:w="30" w:type="dxa"/>
              <w:left w:w="30" w:type="dxa"/>
              <w:bottom w:w="30" w:type="dxa"/>
              <w:right w:w="30" w:type="dxa"/>
            </w:tcMar>
            <w:vAlign w:val="center"/>
          </w:tcPr>
          <w:p w14:paraId="0305F11E"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.075</w:t>
            </w:r>
          </w:p>
        </w:tc>
        <w:tc>
          <w:tcPr>
            <w:tcW w:w="1257" w:type="dxa"/>
            <w:shd w:val="clear" w:color="auto" w:fill="FFFFFF"/>
            <w:tcMar>
              <w:top w:w="30" w:type="dxa"/>
              <w:left w:w="30" w:type="dxa"/>
              <w:bottom w:w="30" w:type="dxa"/>
              <w:right w:w="30" w:type="dxa"/>
            </w:tcMar>
            <w:vAlign w:val="center"/>
          </w:tcPr>
          <w:p w14:paraId="15FFAFCB"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.044</w:t>
            </w:r>
          </w:p>
        </w:tc>
        <w:tc>
          <w:tcPr>
            <w:tcW w:w="1623" w:type="dxa"/>
            <w:shd w:val="clear" w:color="auto" w:fill="FFFFFF"/>
            <w:tcMar>
              <w:top w:w="30" w:type="dxa"/>
              <w:left w:w="30" w:type="dxa"/>
              <w:bottom w:w="30" w:type="dxa"/>
              <w:right w:w="30" w:type="dxa"/>
            </w:tcMar>
            <w:vAlign w:val="center"/>
          </w:tcPr>
          <w:p w14:paraId="0D07B274"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16.818</w:t>
            </w:r>
          </w:p>
        </w:tc>
        <w:tc>
          <w:tcPr>
            <w:tcW w:w="2061" w:type="dxa"/>
            <w:shd w:val="clear" w:color="auto" w:fill="FFFFFF"/>
            <w:tcMar>
              <w:top w:w="30" w:type="dxa"/>
              <w:left w:w="30" w:type="dxa"/>
              <w:bottom w:w="30" w:type="dxa"/>
              <w:right w:w="30" w:type="dxa"/>
            </w:tcMar>
            <w:vAlign w:val="center"/>
          </w:tcPr>
          <w:p w14:paraId="7B55BCFE"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1.830</w:t>
            </w:r>
          </w:p>
        </w:tc>
      </w:tr>
      <w:tr w:rsidR="00D31548" w:rsidRPr="00D31548" w14:paraId="6A7748D0" w14:textId="77777777" w:rsidTr="00D31548">
        <w:trPr>
          <w:cantSplit/>
          <w:trHeight w:val="479"/>
          <w:tblHeader/>
        </w:trPr>
        <w:tc>
          <w:tcPr>
            <w:tcW w:w="7371" w:type="dxa"/>
            <w:gridSpan w:val="6"/>
            <w:tcBorders>
              <w:bottom w:val="single" w:sz="2" w:space="0" w:color="auto"/>
            </w:tcBorders>
            <w:shd w:val="clear" w:color="auto" w:fill="FFFFFF"/>
            <w:tcMar>
              <w:top w:w="30" w:type="dxa"/>
              <w:left w:w="30" w:type="dxa"/>
              <w:bottom w:w="30" w:type="dxa"/>
              <w:right w:w="30" w:type="dxa"/>
            </w:tcMar>
          </w:tcPr>
          <w:p w14:paraId="73E12BD4"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a. Predictors: (Constant</w:t>
            </w:r>
            <w:proofErr w:type="gramStart"/>
            <w:r w:rsidRPr="00D31548">
              <w:rPr>
                <w:rFonts w:ascii="Garamond" w:hAnsi="Garamond" w:cstheme="majorBidi"/>
                <w:color w:val="000000"/>
                <w:sz w:val="26"/>
                <w:szCs w:val="26"/>
              </w:rPr>
              <w:t xml:space="preserve">), </w:t>
            </w:r>
            <w:r w:rsidRPr="00D31548">
              <w:rPr>
                <w:rFonts w:ascii="Garamond" w:hAnsi="Garamond" w:cstheme="majorBidi"/>
                <w:sz w:val="26"/>
                <w:szCs w:val="26"/>
              </w:rPr>
              <w:t xml:space="preserve"> </w:t>
            </w:r>
            <w:r w:rsidRPr="00D31548">
              <w:rPr>
                <w:rFonts w:ascii="Garamond" w:hAnsi="Garamond" w:cstheme="majorBidi"/>
                <w:color w:val="000000"/>
                <w:sz w:val="26"/>
                <w:szCs w:val="26"/>
              </w:rPr>
              <w:t>income</w:t>
            </w:r>
            <w:proofErr w:type="gramEnd"/>
            <w:r w:rsidRPr="00D31548">
              <w:rPr>
                <w:rFonts w:ascii="Garamond" w:hAnsi="Garamond" w:cstheme="majorBidi"/>
                <w:color w:val="000000"/>
                <w:sz w:val="26"/>
                <w:szCs w:val="26"/>
              </w:rPr>
              <w:t>, marital status, gender</w:t>
            </w:r>
          </w:p>
          <w:p w14:paraId="205B5276" w14:textId="77777777" w:rsidR="00D31548" w:rsidRPr="00D31548" w:rsidRDefault="00D31548" w:rsidP="00D31548">
            <w:pPr>
              <w:autoSpaceDE w:val="0"/>
              <w:autoSpaceDN w:val="0"/>
              <w:adjustRightInd w:val="0"/>
              <w:jc w:val="both"/>
              <w:rPr>
                <w:rFonts w:ascii="Garamond" w:hAnsi="Garamond" w:cstheme="majorBidi"/>
                <w:color w:val="000000"/>
                <w:sz w:val="26"/>
                <w:szCs w:val="26"/>
              </w:rPr>
            </w:pPr>
            <w:r w:rsidRPr="00D31548">
              <w:rPr>
                <w:rFonts w:ascii="Garamond" w:hAnsi="Garamond" w:cstheme="majorBidi"/>
                <w:color w:val="000000"/>
                <w:sz w:val="26"/>
                <w:szCs w:val="26"/>
              </w:rPr>
              <w:t xml:space="preserve">b. Dependent Variable: </w:t>
            </w:r>
            <w:r w:rsidRPr="00D31548">
              <w:rPr>
                <w:rFonts w:ascii="Garamond" w:hAnsi="Garamond" w:cstheme="majorBidi"/>
                <w:sz w:val="26"/>
                <w:szCs w:val="26"/>
              </w:rPr>
              <w:t xml:space="preserve"> </w:t>
            </w:r>
            <w:proofErr w:type="spellStart"/>
            <w:r w:rsidRPr="00D31548">
              <w:rPr>
                <w:rFonts w:ascii="Garamond" w:hAnsi="Garamond" w:cstheme="majorBidi"/>
                <w:color w:val="000000"/>
                <w:sz w:val="26"/>
                <w:szCs w:val="26"/>
              </w:rPr>
              <w:t>total_all</w:t>
            </w:r>
            <w:proofErr w:type="spellEnd"/>
          </w:p>
        </w:tc>
      </w:tr>
    </w:tbl>
    <w:p w14:paraId="6750846B" w14:textId="6AC25F59" w:rsidR="00D31548" w:rsidRPr="00D31548" w:rsidRDefault="00D31548" w:rsidP="00F36D3A">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16F4E673"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After tested the coefficient of determination, the next is the t test to see how partially each independent variable affects the dependent variable. Here are the results of the t test by looking at the probability value (Sig.) On each independent variable.</w:t>
      </w:r>
    </w:p>
    <w:p w14:paraId="4C397AA1"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4</w:t>
      </w:r>
    </w:p>
    <w:p w14:paraId="54225CD0"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Test t Result</w:t>
      </w:r>
    </w:p>
    <w:tbl>
      <w:tblPr>
        <w:tblpPr w:leftFromText="180" w:rightFromText="180" w:vertAnchor="text" w:horzAnchor="margin" w:tblpXSpec="center" w:tblpY="46"/>
        <w:tblW w:w="71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61"/>
        <w:gridCol w:w="1809"/>
        <w:gridCol w:w="1163"/>
        <w:gridCol w:w="875"/>
        <w:gridCol w:w="1573"/>
        <w:gridCol w:w="810"/>
        <w:gridCol w:w="627"/>
      </w:tblGrid>
      <w:tr w:rsidR="00D31548" w:rsidRPr="00D31548" w14:paraId="1EACBE4D" w14:textId="77777777" w:rsidTr="00D31548">
        <w:trPr>
          <w:cantSplit/>
          <w:tblHeader/>
        </w:trPr>
        <w:tc>
          <w:tcPr>
            <w:tcW w:w="2070" w:type="dxa"/>
            <w:gridSpan w:val="2"/>
            <w:vMerge w:val="restart"/>
            <w:shd w:val="clear" w:color="auto" w:fill="FFFFFF"/>
            <w:tcMar>
              <w:top w:w="30" w:type="dxa"/>
              <w:left w:w="30" w:type="dxa"/>
              <w:bottom w:w="30" w:type="dxa"/>
              <w:right w:w="30" w:type="dxa"/>
            </w:tcMar>
            <w:vAlign w:val="bottom"/>
          </w:tcPr>
          <w:p w14:paraId="454F67BC" w14:textId="77777777" w:rsidR="00D31548" w:rsidRPr="00D31548" w:rsidRDefault="00D31548" w:rsidP="00D31548">
            <w:pPr>
              <w:autoSpaceDE w:val="0"/>
              <w:autoSpaceDN w:val="0"/>
              <w:adjustRightInd w:val="0"/>
              <w:rPr>
                <w:rFonts w:ascii="Garamond" w:hAnsi="Garamond" w:cstheme="majorBidi"/>
                <w:b/>
                <w:bCs/>
                <w:color w:val="000000"/>
                <w:sz w:val="26"/>
                <w:szCs w:val="26"/>
              </w:rPr>
            </w:pPr>
            <w:r w:rsidRPr="00D31548">
              <w:rPr>
                <w:rFonts w:ascii="Garamond" w:hAnsi="Garamond" w:cstheme="majorBidi"/>
                <w:b/>
                <w:bCs/>
                <w:color w:val="000000"/>
                <w:sz w:val="26"/>
                <w:szCs w:val="26"/>
              </w:rPr>
              <w:t>Model</w:t>
            </w:r>
          </w:p>
        </w:tc>
        <w:tc>
          <w:tcPr>
            <w:tcW w:w="2038" w:type="dxa"/>
            <w:gridSpan w:val="2"/>
            <w:shd w:val="clear" w:color="auto" w:fill="FFFFFF"/>
            <w:tcMar>
              <w:top w:w="30" w:type="dxa"/>
              <w:left w:w="30" w:type="dxa"/>
              <w:bottom w:w="30" w:type="dxa"/>
              <w:right w:w="30" w:type="dxa"/>
            </w:tcMar>
            <w:vAlign w:val="bottom"/>
          </w:tcPr>
          <w:p w14:paraId="124B7EC7"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Unstandardized Coefficients</w:t>
            </w:r>
          </w:p>
        </w:tc>
        <w:tc>
          <w:tcPr>
            <w:tcW w:w="1573" w:type="dxa"/>
            <w:shd w:val="clear" w:color="auto" w:fill="FFFFFF"/>
            <w:tcMar>
              <w:top w:w="30" w:type="dxa"/>
              <w:left w:w="30" w:type="dxa"/>
              <w:bottom w:w="30" w:type="dxa"/>
              <w:right w:w="30" w:type="dxa"/>
            </w:tcMar>
            <w:vAlign w:val="bottom"/>
          </w:tcPr>
          <w:p w14:paraId="754B45D9"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Standardized Coefficients</w:t>
            </w:r>
          </w:p>
        </w:tc>
        <w:tc>
          <w:tcPr>
            <w:tcW w:w="810" w:type="dxa"/>
            <w:vMerge w:val="restart"/>
            <w:shd w:val="clear" w:color="auto" w:fill="FFFFFF"/>
            <w:tcMar>
              <w:top w:w="30" w:type="dxa"/>
              <w:left w:w="30" w:type="dxa"/>
              <w:bottom w:w="30" w:type="dxa"/>
              <w:right w:w="30" w:type="dxa"/>
            </w:tcMar>
            <w:vAlign w:val="bottom"/>
          </w:tcPr>
          <w:p w14:paraId="63C38074"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t</w:t>
            </w:r>
          </w:p>
        </w:tc>
        <w:tc>
          <w:tcPr>
            <w:tcW w:w="627" w:type="dxa"/>
            <w:vMerge w:val="restart"/>
            <w:shd w:val="clear" w:color="auto" w:fill="FFFFFF"/>
            <w:tcMar>
              <w:top w:w="30" w:type="dxa"/>
              <w:left w:w="30" w:type="dxa"/>
              <w:bottom w:w="30" w:type="dxa"/>
              <w:right w:w="30" w:type="dxa"/>
            </w:tcMar>
            <w:vAlign w:val="bottom"/>
          </w:tcPr>
          <w:p w14:paraId="5E23CE43"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Sig.</w:t>
            </w:r>
          </w:p>
        </w:tc>
      </w:tr>
      <w:tr w:rsidR="00D31548" w:rsidRPr="00D31548" w14:paraId="443A1C27" w14:textId="77777777" w:rsidTr="00D31548">
        <w:trPr>
          <w:cantSplit/>
          <w:tblHeader/>
        </w:trPr>
        <w:tc>
          <w:tcPr>
            <w:tcW w:w="2070" w:type="dxa"/>
            <w:gridSpan w:val="2"/>
            <w:vMerge/>
            <w:shd w:val="clear" w:color="auto" w:fill="FFFFFF"/>
            <w:tcMar>
              <w:top w:w="30" w:type="dxa"/>
              <w:left w:w="30" w:type="dxa"/>
              <w:bottom w:w="30" w:type="dxa"/>
              <w:right w:w="30" w:type="dxa"/>
            </w:tcMar>
            <w:vAlign w:val="bottom"/>
          </w:tcPr>
          <w:p w14:paraId="640D6145"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1163" w:type="dxa"/>
            <w:shd w:val="clear" w:color="auto" w:fill="FFFFFF"/>
            <w:tcMar>
              <w:top w:w="30" w:type="dxa"/>
              <w:left w:w="30" w:type="dxa"/>
              <w:bottom w:w="30" w:type="dxa"/>
              <w:right w:w="30" w:type="dxa"/>
            </w:tcMar>
            <w:vAlign w:val="bottom"/>
          </w:tcPr>
          <w:p w14:paraId="705970FA"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B</w:t>
            </w:r>
          </w:p>
        </w:tc>
        <w:tc>
          <w:tcPr>
            <w:tcW w:w="875" w:type="dxa"/>
            <w:shd w:val="clear" w:color="auto" w:fill="FFFFFF"/>
            <w:tcMar>
              <w:top w:w="30" w:type="dxa"/>
              <w:left w:w="30" w:type="dxa"/>
              <w:bottom w:w="30" w:type="dxa"/>
              <w:right w:w="30" w:type="dxa"/>
            </w:tcMar>
            <w:vAlign w:val="bottom"/>
          </w:tcPr>
          <w:p w14:paraId="325009A7"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Std. Error</w:t>
            </w:r>
          </w:p>
        </w:tc>
        <w:tc>
          <w:tcPr>
            <w:tcW w:w="1573" w:type="dxa"/>
            <w:shd w:val="clear" w:color="auto" w:fill="FFFFFF"/>
            <w:tcMar>
              <w:top w:w="30" w:type="dxa"/>
              <w:left w:w="30" w:type="dxa"/>
              <w:bottom w:w="30" w:type="dxa"/>
              <w:right w:w="30" w:type="dxa"/>
            </w:tcMar>
            <w:vAlign w:val="bottom"/>
          </w:tcPr>
          <w:p w14:paraId="438F159F" w14:textId="77777777" w:rsidR="00D31548" w:rsidRPr="00D31548" w:rsidRDefault="00D31548" w:rsidP="00D31548">
            <w:pPr>
              <w:autoSpaceDE w:val="0"/>
              <w:autoSpaceDN w:val="0"/>
              <w:adjustRightInd w:val="0"/>
              <w:jc w:val="center"/>
              <w:rPr>
                <w:rFonts w:ascii="Garamond" w:hAnsi="Garamond" w:cstheme="majorBidi"/>
                <w:color w:val="000000"/>
                <w:sz w:val="26"/>
                <w:szCs w:val="26"/>
              </w:rPr>
            </w:pPr>
            <w:r w:rsidRPr="00D31548">
              <w:rPr>
                <w:rFonts w:ascii="Garamond" w:hAnsi="Garamond" w:cstheme="majorBidi"/>
                <w:color w:val="000000"/>
                <w:sz w:val="26"/>
                <w:szCs w:val="26"/>
              </w:rPr>
              <w:t>Beta</w:t>
            </w:r>
          </w:p>
        </w:tc>
        <w:tc>
          <w:tcPr>
            <w:tcW w:w="810" w:type="dxa"/>
            <w:vMerge/>
            <w:shd w:val="clear" w:color="auto" w:fill="FFFFFF"/>
            <w:tcMar>
              <w:top w:w="30" w:type="dxa"/>
              <w:left w:w="30" w:type="dxa"/>
              <w:bottom w:w="30" w:type="dxa"/>
              <w:right w:w="30" w:type="dxa"/>
            </w:tcMar>
            <w:vAlign w:val="bottom"/>
          </w:tcPr>
          <w:p w14:paraId="633D5950"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627" w:type="dxa"/>
            <w:vMerge/>
            <w:shd w:val="clear" w:color="auto" w:fill="FFFFFF"/>
            <w:tcMar>
              <w:top w:w="30" w:type="dxa"/>
              <w:left w:w="30" w:type="dxa"/>
              <w:bottom w:w="30" w:type="dxa"/>
              <w:right w:w="30" w:type="dxa"/>
            </w:tcMar>
            <w:vAlign w:val="bottom"/>
          </w:tcPr>
          <w:p w14:paraId="43984920" w14:textId="77777777" w:rsidR="00D31548" w:rsidRPr="00D31548" w:rsidRDefault="00D31548" w:rsidP="00D31548">
            <w:pPr>
              <w:autoSpaceDE w:val="0"/>
              <w:autoSpaceDN w:val="0"/>
              <w:adjustRightInd w:val="0"/>
              <w:rPr>
                <w:rFonts w:ascii="Garamond" w:hAnsi="Garamond" w:cstheme="majorBidi"/>
                <w:color w:val="000000"/>
                <w:sz w:val="26"/>
                <w:szCs w:val="26"/>
              </w:rPr>
            </w:pPr>
          </w:p>
        </w:tc>
      </w:tr>
      <w:tr w:rsidR="00D31548" w:rsidRPr="00D31548" w14:paraId="57C9D7C5" w14:textId="77777777" w:rsidTr="00D31548">
        <w:trPr>
          <w:cantSplit/>
          <w:tblHeader/>
        </w:trPr>
        <w:tc>
          <w:tcPr>
            <w:tcW w:w="261" w:type="dxa"/>
            <w:vMerge w:val="restart"/>
            <w:shd w:val="clear" w:color="auto" w:fill="FFFFFF"/>
            <w:tcMar>
              <w:top w:w="30" w:type="dxa"/>
              <w:left w:w="30" w:type="dxa"/>
              <w:bottom w:w="30" w:type="dxa"/>
              <w:right w:w="30" w:type="dxa"/>
            </w:tcMar>
          </w:tcPr>
          <w:p w14:paraId="0456E19C"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1</w:t>
            </w:r>
          </w:p>
        </w:tc>
        <w:tc>
          <w:tcPr>
            <w:tcW w:w="1809" w:type="dxa"/>
            <w:shd w:val="clear" w:color="auto" w:fill="FFFFFF"/>
            <w:tcMar>
              <w:top w:w="30" w:type="dxa"/>
              <w:left w:w="30" w:type="dxa"/>
              <w:bottom w:w="30" w:type="dxa"/>
              <w:right w:w="30" w:type="dxa"/>
            </w:tcMar>
          </w:tcPr>
          <w:p w14:paraId="1419BE32"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(Constant)</w:t>
            </w:r>
          </w:p>
        </w:tc>
        <w:tc>
          <w:tcPr>
            <w:tcW w:w="1163" w:type="dxa"/>
            <w:shd w:val="clear" w:color="auto" w:fill="FFFFFF"/>
            <w:tcMar>
              <w:top w:w="30" w:type="dxa"/>
              <w:left w:w="30" w:type="dxa"/>
              <w:bottom w:w="30" w:type="dxa"/>
              <w:right w:w="30" w:type="dxa"/>
            </w:tcMar>
            <w:vAlign w:val="center"/>
          </w:tcPr>
          <w:p w14:paraId="3AA23132"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118.190</w:t>
            </w:r>
          </w:p>
        </w:tc>
        <w:tc>
          <w:tcPr>
            <w:tcW w:w="875" w:type="dxa"/>
            <w:shd w:val="clear" w:color="auto" w:fill="FFFFFF"/>
            <w:tcMar>
              <w:top w:w="30" w:type="dxa"/>
              <w:left w:w="30" w:type="dxa"/>
              <w:bottom w:w="30" w:type="dxa"/>
              <w:right w:w="30" w:type="dxa"/>
            </w:tcMar>
            <w:vAlign w:val="center"/>
          </w:tcPr>
          <w:p w14:paraId="7B462B5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6.510</w:t>
            </w:r>
          </w:p>
        </w:tc>
        <w:tc>
          <w:tcPr>
            <w:tcW w:w="1573" w:type="dxa"/>
            <w:shd w:val="clear" w:color="auto" w:fill="FFFFFF"/>
            <w:tcMar>
              <w:top w:w="30" w:type="dxa"/>
              <w:left w:w="30" w:type="dxa"/>
              <w:bottom w:w="30" w:type="dxa"/>
              <w:right w:w="30" w:type="dxa"/>
            </w:tcMar>
          </w:tcPr>
          <w:p w14:paraId="4DFABE0B" w14:textId="77777777" w:rsidR="00D31548" w:rsidRPr="00D31548" w:rsidRDefault="00D31548" w:rsidP="00D31548">
            <w:pPr>
              <w:autoSpaceDE w:val="0"/>
              <w:autoSpaceDN w:val="0"/>
              <w:adjustRightInd w:val="0"/>
              <w:rPr>
                <w:rFonts w:ascii="Garamond" w:hAnsi="Garamond" w:cstheme="majorBidi"/>
                <w:sz w:val="26"/>
                <w:szCs w:val="26"/>
              </w:rPr>
            </w:pPr>
          </w:p>
        </w:tc>
        <w:tc>
          <w:tcPr>
            <w:tcW w:w="810" w:type="dxa"/>
            <w:shd w:val="clear" w:color="auto" w:fill="FFFFFF"/>
            <w:tcMar>
              <w:top w:w="30" w:type="dxa"/>
              <w:left w:w="30" w:type="dxa"/>
              <w:bottom w:w="30" w:type="dxa"/>
              <w:right w:w="30" w:type="dxa"/>
            </w:tcMar>
            <w:vAlign w:val="center"/>
          </w:tcPr>
          <w:p w14:paraId="27598071"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18.155</w:t>
            </w:r>
          </w:p>
        </w:tc>
        <w:tc>
          <w:tcPr>
            <w:tcW w:w="627" w:type="dxa"/>
            <w:shd w:val="clear" w:color="auto" w:fill="FFFFFF"/>
            <w:tcMar>
              <w:top w:w="30" w:type="dxa"/>
              <w:left w:w="30" w:type="dxa"/>
              <w:bottom w:w="30" w:type="dxa"/>
              <w:right w:w="30" w:type="dxa"/>
            </w:tcMar>
            <w:vAlign w:val="center"/>
          </w:tcPr>
          <w:p w14:paraId="2FA13DBA"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.000</w:t>
            </w:r>
          </w:p>
        </w:tc>
      </w:tr>
      <w:tr w:rsidR="00D31548" w:rsidRPr="00D31548" w14:paraId="34032C7B" w14:textId="77777777" w:rsidTr="00D31548">
        <w:trPr>
          <w:cantSplit/>
          <w:tblHeader/>
        </w:trPr>
        <w:tc>
          <w:tcPr>
            <w:tcW w:w="261" w:type="dxa"/>
            <w:vMerge/>
            <w:shd w:val="clear" w:color="auto" w:fill="FFFFFF"/>
            <w:tcMar>
              <w:top w:w="30" w:type="dxa"/>
              <w:left w:w="30" w:type="dxa"/>
              <w:bottom w:w="30" w:type="dxa"/>
              <w:right w:w="30" w:type="dxa"/>
            </w:tcMar>
          </w:tcPr>
          <w:p w14:paraId="75677A2D" w14:textId="77777777" w:rsidR="00D31548" w:rsidRPr="00D31548" w:rsidRDefault="00D31548" w:rsidP="00D31548">
            <w:pPr>
              <w:autoSpaceDE w:val="0"/>
              <w:autoSpaceDN w:val="0"/>
              <w:adjustRightInd w:val="0"/>
              <w:rPr>
                <w:rFonts w:ascii="Garamond" w:hAnsi="Garamond" w:cstheme="majorBidi"/>
                <w:sz w:val="26"/>
                <w:szCs w:val="26"/>
              </w:rPr>
            </w:pPr>
          </w:p>
        </w:tc>
        <w:tc>
          <w:tcPr>
            <w:tcW w:w="1809" w:type="dxa"/>
            <w:shd w:val="clear" w:color="auto" w:fill="FFFFFF"/>
            <w:tcMar>
              <w:top w:w="30" w:type="dxa"/>
              <w:left w:w="30" w:type="dxa"/>
              <w:bottom w:w="30" w:type="dxa"/>
              <w:right w:w="30" w:type="dxa"/>
            </w:tcMar>
          </w:tcPr>
          <w:p w14:paraId="1DC719D8"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Gender</w:t>
            </w:r>
          </w:p>
        </w:tc>
        <w:tc>
          <w:tcPr>
            <w:tcW w:w="1163" w:type="dxa"/>
            <w:shd w:val="clear" w:color="auto" w:fill="FFFFFF"/>
            <w:tcMar>
              <w:top w:w="30" w:type="dxa"/>
              <w:left w:w="30" w:type="dxa"/>
              <w:bottom w:w="30" w:type="dxa"/>
              <w:right w:w="30" w:type="dxa"/>
            </w:tcMar>
            <w:vAlign w:val="center"/>
          </w:tcPr>
          <w:p w14:paraId="7A3732E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-.911</w:t>
            </w:r>
          </w:p>
        </w:tc>
        <w:tc>
          <w:tcPr>
            <w:tcW w:w="875" w:type="dxa"/>
            <w:shd w:val="clear" w:color="auto" w:fill="FFFFFF"/>
            <w:tcMar>
              <w:top w:w="30" w:type="dxa"/>
              <w:left w:w="30" w:type="dxa"/>
              <w:bottom w:w="30" w:type="dxa"/>
              <w:right w:w="30" w:type="dxa"/>
            </w:tcMar>
            <w:vAlign w:val="center"/>
          </w:tcPr>
          <w:p w14:paraId="32A9CEE5"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3.831</w:t>
            </w:r>
          </w:p>
        </w:tc>
        <w:tc>
          <w:tcPr>
            <w:tcW w:w="1573" w:type="dxa"/>
            <w:shd w:val="clear" w:color="auto" w:fill="FFFFFF"/>
            <w:tcMar>
              <w:top w:w="30" w:type="dxa"/>
              <w:left w:w="30" w:type="dxa"/>
              <w:bottom w:w="30" w:type="dxa"/>
              <w:right w:w="30" w:type="dxa"/>
            </w:tcMar>
            <w:vAlign w:val="center"/>
          </w:tcPr>
          <w:p w14:paraId="3772F98A"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-.027</w:t>
            </w:r>
          </w:p>
        </w:tc>
        <w:tc>
          <w:tcPr>
            <w:tcW w:w="810" w:type="dxa"/>
            <w:shd w:val="clear" w:color="auto" w:fill="FFFFFF"/>
            <w:tcMar>
              <w:top w:w="30" w:type="dxa"/>
              <w:left w:w="30" w:type="dxa"/>
              <w:bottom w:w="30" w:type="dxa"/>
              <w:right w:w="30" w:type="dxa"/>
            </w:tcMar>
            <w:vAlign w:val="center"/>
          </w:tcPr>
          <w:p w14:paraId="50DBEE8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-.238</w:t>
            </w:r>
          </w:p>
        </w:tc>
        <w:tc>
          <w:tcPr>
            <w:tcW w:w="627" w:type="dxa"/>
            <w:shd w:val="clear" w:color="auto" w:fill="FFFFFF"/>
            <w:tcMar>
              <w:top w:w="30" w:type="dxa"/>
              <w:left w:w="30" w:type="dxa"/>
              <w:bottom w:w="30" w:type="dxa"/>
              <w:right w:w="30" w:type="dxa"/>
            </w:tcMar>
            <w:vAlign w:val="center"/>
          </w:tcPr>
          <w:p w14:paraId="2059E717"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.813</w:t>
            </w:r>
          </w:p>
        </w:tc>
      </w:tr>
      <w:tr w:rsidR="00D31548" w:rsidRPr="00D31548" w14:paraId="0DECEA99" w14:textId="77777777" w:rsidTr="00D31548">
        <w:trPr>
          <w:cantSplit/>
          <w:tblHeader/>
        </w:trPr>
        <w:tc>
          <w:tcPr>
            <w:tcW w:w="261" w:type="dxa"/>
            <w:vMerge/>
            <w:shd w:val="clear" w:color="auto" w:fill="FFFFFF"/>
            <w:tcMar>
              <w:top w:w="30" w:type="dxa"/>
              <w:left w:w="30" w:type="dxa"/>
              <w:bottom w:w="30" w:type="dxa"/>
              <w:right w:w="30" w:type="dxa"/>
            </w:tcMar>
          </w:tcPr>
          <w:p w14:paraId="78CE3D54"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1809" w:type="dxa"/>
            <w:shd w:val="clear" w:color="auto" w:fill="FFFFFF"/>
            <w:tcMar>
              <w:top w:w="30" w:type="dxa"/>
              <w:left w:w="30" w:type="dxa"/>
              <w:bottom w:w="30" w:type="dxa"/>
              <w:right w:w="30" w:type="dxa"/>
            </w:tcMar>
          </w:tcPr>
          <w:p w14:paraId="1B13A6C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Marial Status</w:t>
            </w:r>
          </w:p>
        </w:tc>
        <w:tc>
          <w:tcPr>
            <w:tcW w:w="1163" w:type="dxa"/>
            <w:shd w:val="clear" w:color="auto" w:fill="FFFFFF"/>
            <w:tcMar>
              <w:top w:w="30" w:type="dxa"/>
              <w:left w:w="30" w:type="dxa"/>
              <w:bottom w:w="30" w:type="dxa"/>
              <w:right w:w="30" w:type="dxa"/>
            </w:tcMar>
            <w:vAlign w:val="center"/>
          </w:tcPr>
          <w:p w14:paraId="5BF192BB"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8.215</w:t>
            </w:r>
          </w:p>
        </w:tc>
        <w:tc>
          <w:tcPr>
            <w:tcW w:w="875" w:type="dxa"/>
            <w:shd w:val="clear" w:color="auto" w:fill="FFFFFF"/>
            <w:tcMar>
              <w:top w:w="30" w:type="dxa"/>
              <w:left w:w="30" w:type="dxa"/>
              <w:bottom w:w="30" w:type="dxa"/>
              <w:right w:w="30" w:type="dxa"/>
            </w:tcMar>
            <w:vAlign w:val="center"/>
          </w:tcPr>
          <w:p w14:paraId="5D96EE7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3.469</w:t>
            </w:r>
          </w:p>
        </w:tc>
        <w:tc>
          <w:tcPr>
            <w:tcW w:w="1573" w:type="dxa"/>
            <w:shd w:val="clear" w:color="auto" w:fill="FFFFFF"/>
            <w:tcMar>
              <w:top w:w="30" w:type="dxa"/>
              <w:left w:w="30" w:type="dxa"/>
              <w:bottom w:w="30" w:type="dxa"/>
              <w:right w:w="30" w:type="dxa"/>
            </w:tcMar>
            <w:vAlign w:val="center"/>
          </w:tcPr>
          <w:p w14:paraId="02483A75"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.250</w:t>
            </w:r>
          </w:p>
        </w:tc>
        <w:tc>
          <w:tcPr>
            <w:tcW w:w="810" w:type="dxa"/>
            <w:shd w:val="clear" w:color="auto" w:fill="FFFFFF"/>
            <w:tcMar>
              <w:top w:w="30" w:type="dxa"/>
              <w:left w:w="30" w:type="dxa"/>
              <w:bottom w:w="30" w:type="dxa"/>
              <w:right w:w="30" w:type="dxa"/>
            </w:tcMar>
            <w:vAlign w:val="center"/>
          </w:tcPr>
          <w:p w14:paraId="27F7567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2.363</w:t>
            </w:r>
          </w:p>
        </w:tc>
        <w:tc>
          <w:tcPr>
            <w:tcW w:w="627" w:type="dxa"/>
            <w:shd w:val="clear" w:color="auto" w:fill="FFFFFF"/>
            <w:tcMar>
              <w:top w:w="30" w:type="dxa"/>
              <w:left w:w="30" w:type="dxa"/>
              <w:bottom w:w="30" w:type="dxa"/>
              <w:right w:w="30" w:type="dxa"/>
            </w:tcMar>
            <w:vAlign w:val="center"/>
          </w:tcPr>
          <w:p w14:paraId="56BC393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.020</w:t>
            </w:r>
          </w:p>
        </w:tc>
      </w:tr>
      <w:tr w:rsidR="00D31548" w:rsidRPr="00D31548" w14:paraId="3F31656A" w14:textId="77777777" w:rsidTr="00D31548">
        <w:trPr>
          <w:cantSplit/>
          <w:tblHeader/>
        </w:trPr>
        <w:tc>
          <w:tcPr>
            <w:tcW w:w="261" w:type="dxa"/>
            <w:vMerge/>
            <w:shd w:val="clear" w:color="auto" w:fill="FFFFFF"/>
            <w:tcMar>
              <w:top w:w="30" w:type="dxa"/>
              <w:left w:w="30" w:type="dxa"/>
              <w:bottom w:w="30" w:type="dxa"/>
              <w:right w:w="30" w:type="dxa"/>
            </w:tcMar>
          </w:tcPr>
          <w:p w14:paraId="54F0B8B6"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1809" w:type="dxa"/>
            <w:shd w:val="clear" w:color="auto" w:fill="FFFFFF"/>
            <w:tcMar>
              <w:top w:w="30" w:type="dxa"/>
              <w:left w:w="30" w:type="dxa"/>
              <w:bottom w:w="30" w:type="dxa"/>
              <w:right w:w="30" w:type="dxa"/>
            </w:tcMar>
          </w:tcPr>
          <w:p w14:paraId="31EB02BF"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 xml:space="preserve">Income </w:t>
            </w:r>
            <w:proofErr w:type="spellStart"/>
            <w:r w:rsidRPr="00D31548">
              <w:rPr>
                <w:rFonts w:ascii="Garamond" w:hAnsi="Garamond" w:cstheme="majorBidi"/>
                <w:color w:val="000000"/>
                <w:sz w:val="26"/>
                <w:szCs w:val="26"/>
              </w:rPr>
              <w:t>permonth</w:t>
            </w:r>
            <w:proofErr w:type="spellEnd"/>
          </w:p>
        </w:tc>
        <w:tc>
          <w:tcPr>
            <w:tcW w:w="1163" w:type="dxa"/>
            <w:shd w:val="clear" w:color="auto" w:fill="FFFFFF"/>
            <w:tcMar>
              <w:top w:w="30" w:type="dxa"/>
              <w:left w:w="30" w:type="dxa"/>
              <w:bottom w:w="30" w:type="dxa"/>
              <w:right w:w="30" w:type="dxa"/>
            </w:tcMar>
            <w:vAlign w:val="center"/>
          </w:tcPr>
          <w:p w14:paraId="1FD5310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1.973</w:t>
            </w:r>
          </w:p>
        </w:tc>
        <w:tc>
          <w:tcPr>
            <w:tcW w:w="875" w:type="dxa"/>
            <w:shd w:val="clear" w:color="auto" w:fill="FFFFFF"/>
            <w:tcMar>
              <w:top w:w="30" w:type="dxa"/>
              <w:left w:w="30" w:type="dxa"/>
              <w:bottom w:w="30" w:type="dxa"/>
              <w:right w:w="30" w:type="dxa"/>
            </w:tcMar>
            <w:vAlign w:val="center"/>
          </w:tcPr>
          <w:p w14:paraId="50C7AD7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2.949</w:t>
            </w:r>
          </w:p>
        </w:tc>
        <w:tc>
          <w:tcPr>
            <w:tcW w:w="1573" w:type="dxa"/>
            <w:shd w:val="clear" w:color="auto" w:fill="FFFFFF"/>
            <w:tcMar>
              <w:top w:w="30" w:type="dxa"/>
              <w:left w:w="30" w:type="dxa"/>
              <w:bottom w:w="30" w:type="dxa"/>
              <w:right w:w="30" w:type="dxa"/>
            </w:tcMar>
            <w:vAlign w:val="center"/>
          </w:tcPr>
          <w:p w14:paraId="17579896"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.075</w:t>
            </w:r>
          </w:p>
        </w:tc>
        <w:tc>
          <w:tcPr>
            <w:tcW w:w="810" w:type="dxa"/>
            <w:shd w:val="clear" w:color="auto" w:fill="FFFFFF"/>
            <w:tcMar>
              <w:top w:w="30" w:type="dxa"/>
              <w:left w:w="30" w:type="dxa"/>
              <w:bottom w:w="30" w:type="dxa"/>
              <w:right w:w="30" w:type="dxa"/>
            </w:tcMar>
            <w:vAlign w:val="center"/>
          </w:tcPr>
          <w:p w14:paraId="168575DB"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.669</w:t>
            </w:r>
          </w:p>
        </w:tc>
        <w:tc>
          <w:tcPr>
            <w:tcW w:w="627" w:type="dxa"/>
            <w:shd w:val="clear" w:color="auto" w:fill="FFFFFF"/>
            <w:tcMar>
              <w:top w:w="30" w:type="dxa"/>
              <w:left w:w="30" w:type="dxa"/>
              <w:bottom w:w="30" w:type="dxa"/>
              <w:right w:w="30" w:type="dxa"/>
            </w:tcMar>
            <w:vAlign w:val="center"/>
          </w:tcPr>
          <w:p w14:paraId="1907115A"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.505</w:t>
            </w:r>
          </w:p>
        </w:tc>
      </w:tr>
    </w:tbl>
    <w:p w14:paraId="4E6CB3E0" w14:textId="77777777" w:rsidR="00F36D3A" w:rsidRDefault="00F36D3A" w:rsidP="00D31548">
      <w:pPr>
        <w:spacing w:line="276" w:lineRule="auto"/>
        <w:rPr>
          <w:rFonts w:ascii="Garamond" w:hAnsi="Garamond" w:cstheme="majorBidi"/>
          <w:sz w:val="26"/>
          <w:szCs w:val="26"/>
        </w:rPr>
      </w:pPr>
    </w:p>
    <w:p w14:paraId="4033AF91" w14:textId="77777777" w:rsidR="00F36D3A" w:rsidRDefault="00F36D3A" w:rsidP="00D31548">
      <w:pPr>
        <w:spacing w:line="276" w:lineRule="auto"/>
        <w:rPr>
          <w:rFonts w:ascii="Garamond" w:hAnsi="Garamond" w:cstheme="majorBidi"/>
          <w:sz w:val="26"/>
          <w:szCs w:val="26"/>
        </w:rPr>
      </w:pPr>
    </w:p>
    <w:p w14:paraId="3830DE7E" w14:textId="77777777" w:rsidR="00F36D3A" w:rsidRDefault="00F36D3A" w:rsidP="00D31548">
      <w:pPr>
        <w:spacing w:line="276" w:lineRule="auto"/>
        <w:rPr>
          <w:rFonts w:ascii="Garamond" w:hAnsi="Garamond" w:cstheme="majorBidi"/>
          <w:sz w:val="26"/>
          <w:szCs w:val="26"/>
        </w:rPr>
      </w:pPr>
    </w:p>
    <w:p w14:paraId="7CA9789F" w14:textId="77777777" w:rsidR="00F36D3A" w:rsidRDefault="00F36D3A" w:rsidP="00D31548">
      <w:pPr>
        <w:spacing w:line="276" w:lineRule="auto"/>
        <w:rPr>
          <w:rFonts w:ascii="Garamond" w:hAnsi="Garamond" w:cstheme="majorBidi"/>
          <w:sz w:val="26"/>
          <w:szCs w:val="26"/>
        </w:rPr>
      </w:pPr>
    </w:p>
    <w:p w14:paraId="758034FE" w14:textId="77777777" w:rsidR="00F36D3A" w:rsidRDefault="00F36D3A" w:rsidP="00D31548">
      <w:pPr>
        <w:spacing w:line="276" w:lineRule="auto"/>
        <w:rPr>
          <w:rFonts w:ascii="Garamond" w:hAnsi="Garamond" w:cstheme="majorBidi"/>
          <w:sz w:val="26"/>
          <w:szCs w:val="26"/>
        </w:rPr>
      </w:pPr>
    </w:p>
    <w:p w14:paraId="42CB78A7" w14:textId="77777777" w:rsidR="00F36D3A" w:rsidRDefault="00F36D3A" w:rsidP="00D31548">
      <w:pPr>
        <w:spacing w:line="276" w:lineRule="auto"/>
        <w:rPr>
          <w:rFonts w:ascii="Garamond" w:hAnsi="Garamond" w:cstheme="majorBidi"/>
          <w:sz w:val="26"/>
          <w:szCs w:val="26"/>
        </w:rPr>
      </w:pPr>
    </w:p>
    <w:p w14:paraId="4AA0EC32" w14:textId="77777777" w:rsidR="00F36D3A" w:rsidRDefault="00F36D3A" w:rsidP="00D31548">
      <w:pPr>
        <w:spacing w:line="276" w:lineRule="auto"/>
        <w:rPr>
          <w:rFonts w:ascii="Garamond" w:hAnsi="Garamond" w:cstheme="majorBidi"/>
          <w:sz w:val="26"/>
          <w:szCs w:val="26"/>
        </w:rPr>
      </w:pPr>
    </w:p>
    <w:p w14:paraId="73CAFCDD" w14:textId="77777777" w:rsidR="00F36D3A" w:rsidRDefault="00F36D3A" w:rsidP="00D31548">
      <w:pPr>
        <w:spacing w:line="276" w:lineRule="auto"/>
        <w:rPr>
          <w:rFonts w:ascii="Garamond" w:hAnsi="Garamond" w:cstheme="majorBidi"/>
          <w:sz w:val="26"/>
          <w:szCs w:val="26"/>
        </w:rPr>
      </w:pPr>
    </w:p>
    <w:p w14:paraId="7C9E7990" w14:textId="295443BB" w:rsidR="00F36D3A" w:rsidRDefault="00F36D3A" w:rsidP="00F36D3A">
      <w:pPr>
        <w:rPr>
          <w:rFonts w:ascii="Garamond" w:hAnsi="Garamond" w:cstheme="majorBidi"/>
          <w:sz w:val="26"/>
          <w:szCs w:val="26"/>
        </w:rPr>
      </w:pPr>
    </w:p>
    <w:p w14:paraId="20B717E8" w14:textId="77777777" w:rsidR="00F36D3A" w:rsidRDefault="00F36D3A" w:rsidP="00F36D3A">
      <w:pPr>
        <w:rPr>
          <w:rFonts w:ascii="Garamond" w:hAnsi="Garamond" w:cstheme="majorBidi"/>
          <w:sz w:val="26"/>
          <w:szCs w:val="26"/>
        </w:rPr>
      </w:pPr>
    </w:p>
    <w:p w14:paraId="2775B065" w14:textId="61B101F2" w:rsidR="00D31548" w:rsidRPr="00F36D3A" w:rsidRDefault="00D31548" w:rsidP="00F36D3A">
      <w:pPr>
        <w:rPr>
          <w:rFonts w:ascii="Garamond" w:hAnsi="Garamond" w:cstheme="majorBidi"/>
          <w:sz w:val="26"/>
          <w:szCs w:val="26"/>
        </w:rPr>
      </w:pPr>
      <w:r w:rsidRPr="00D31548">
        <w:rPr>
          <w:rFonts w:ascii="Garamond" w:hAnsi="Garamond" w:cstheme="majorBidi"/>
          <w:sz w:val="26"/>
          <w:szCs w:val="26"/>
        </w:rPr>
        <w:t>Source:</w:t>
      </w:r>
      <w:r w:rsidR="00F36D3A">
        <w:rPr>
          <w:rFonts w:ascii="Garamond" w:hAnsi="Garamond" w:cstheme="majorBidi"/>
          <w:sz w:val="26"/>
          <w:szCs w:val="26"/>
        </w:rPr>
        <w:t xml:space="preserve"> </w:t>
      </w:r>
      <w:r w:rsidRPr="00D31548">
        <w:rPr>
          <w:rFonts w:ascii="Garamond" w:hAnsi="Garamond" w:cstheme="majorBidi"/>
          <w:sz w:val="26"/>
          <w:szCs w:val="26"/>
        </w:rPr>
        <w:t>Developed for the research</w:t>
      </w:r>
    </w:p>
    <w:p w14:paraId="68FCE3C3"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In the table above it can be seen that the gender variable significant value of 0.813 is greater than 0.05, and income per month is significant value of 0.505 greater than 0.05. </w:t>
      </w:r>
      <w:proofErr w:type="gramStart"/>
      <w:r w:rsidRPr="00D31548">
        <w:rPr>
          <w:rFonts w:ascii="Garamond" w:hAnsi="Garamond" w:cstheme="majorBidi"/>
          <w:sz w:val="26"/>
          <w:szCs w:val="26"/>
        </w:rPr>
        <w:t>So</w:t>
      </w:r>
      <w:proofErr w:type="gramEnd"/>
      <w:r w:rsidRPr="00D31548">
        <w:rPr>
          <w:rFonts w:ascii="Garamond" w:hAnsi="Garamond" w:cstheme="majorBidi"/>
          <w:sz w:val="26"/>
          <w:szCs w:val="26"/>
        </w:rPr>
        <w:t xml:space="preserve"> it can be concluded that the variables of gender and income </w:t>
      </w:r>
      <w:proofErr w:type="spellStart"/>
      <w:r w:rsidRPr="00D31548">
        <w:rPr>
          <w:rFonts w:ascii="Garamond" w:hAnsi="Garamond" w:cstheme="majorBidi"/>
          <w:sz w:val="26"/>
          <w:szCs w:val="26"/>
        </w:rPr>
        <w:t>permonth</w:t>
      </w:r>
      <w:proofErr w:type="spellEnd"/>
      <w:r w:rsidRPr="00D31548">
        <w:rPr>
          <w:rFonts w:ascii="Garamond" w:hAnsi="Garamond" w:cstheme="majorBidi"/>
          <w:sz w:val="26"/>
          <w:szCs w:val="26"/>
        </w:rPr>
        <w:t xml:space="preserve"> do not significantly affect the level of Islamic financial literacy. In contrast to the marital status variable at a significant rate of 0.020 smaller than 0.05. </w:t>
      </w:r>
      <w:proofErr w:type="gramStart"/>
      <w:r w:rsidRPr="00D31548">
        <w:rPr>
          <w:rFonts w:ascii="Garamond" w:hAnsi="Garamond" w:cstheme="majorBidi"/>
          <w:sz w:val="26"/>
          <w:szCs w:val="26"/>
        </w:rPr>
        <w:t>So</w:t>
      </w:r>
      <w:proofErr w:type="gramEnd"/>
      <w:r w:rsidRPr="00D31548">
        <w:rPr>
          <w:rFonts w:ascii="Garamond" w:hAnsi="Garamond" w:cstheme="majorBidi"/>
          <w:sz w:val="26"/>
          <w:szCs w:val="26"/>
        </w:rPr>
        <w:t xml:space="preserve"> it can be concluded that the marital status influences the level of awareness of Islamic financial literacy of IAIN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alumni period 2010-2015 significantly.</w:t>
      </w:r>
    </w:p>
    <w:p w14:paraId="48BA9E36"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lastRenderedPageBreak/>
        <w:t>Then the F test is used to see whether there is a stimulant effect on the independent variable on the dependent variable. In the table below it can be concluded that there is a positive and significant effect on the independent variable on the dependent variable because the F significance level of 0.01 is smaller than 0.05.</w:t>
      </w:r>
    </w:p>
    <w:p w14:paraId="3A544673"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5</w:t>
      </w:r>
    </w:p>
    <w:p w14:paraId="4E1F7288"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Test F Result</w:t>
      </w:r>
    </w:p>
    <w:tbl>
      <w:tblPr>
        <w:tblW w:w="75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20"/>
        <w:gridCol w:w="1258"/>
        <w:gridCol w:w="1441"/>
        <w:gridCol w:w="998"/>
        <w:gridCol w:w="1383"/>
        <w:gridCol w:w="1000"/>
        <w:gridCol w:w="1000"/>
      </w:tblGrid>
      <w:tr w:rsidR="00D31548" w:rsidRPr="00D31548" w14:paraId="7D9EB554" w14:textId="77777777" w:rsidTr="00D31548">
        <w:trPr>
          <w:cantSplit/>
          <w:tblHeader/>
          <w:jc w:val="center"/>
        </w:trPr>
        <w:tc>
          <w:tcPr>
            <w:tcW w:w="1678" w:type="dxa"/>
            <w:gridSpan w:val="2"/>
            <w:shd w:val="clear" w:color="auto" w:fill="FFFFFF"/>
            <w:tcMar>
              <w:top w:w="30" w:type="dxa"/>
              <w:left w:w="30" w:type="dxa"/>
              <w:bottom w:w="30" w:type="dxa"/>
              <w:right w:w="30" w:type="dxa"/>
            </w:tcMar>
            <w:vAlign w:val="bottom"/>
          </w:tcPr>
          <w:p w14:paraId="2779B38F"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Model</w:t>
            </w:r>
          </w:p>
        </w:tc>
        <w:tc>
          <w:tcPr>
            <w:tcW w:w="1441" w:type="dxa"/>
            <w:shd w:val="clear" w:color="auto" w:fill="FFFFFF"/>
            <w:tcMar>
              <w:top w:w="30" w:type="dxa"/>
              <w:left w:w="30" w:type="dxa"/>
              <w:bottom w:w="30" w:type="dxa"/>
              <w:right w:w="30" w:type="dxa"/>
            </w:tcMar>
            <w:vAlign w:val="bottom"/>
          </w:tcPr>
          <w:p w14:paraId="02EA3ADD"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Sum of Squares</w:t>
            </w:r>
          </w:p>
        </w:tc>
        <w:tc>
          <w:tcPr>
            <w:tcW w:w="998" w:type="dxa"/>
            <w:shd w:val="clear" w:color="auto" w:fill="FFFFFF"/>
            <w:tcMar>
              <w:top w:w="30" w:type="dxa"/>
              <w:left w:w="30" w:type="dxa"/>
              <w:bottom w:w="30" w:type="dxa"/>
              <w:right w:w="30" w:type="dxa"/>
            </w:tcMar>
            <w:vAlign w:val="bottom"/>
          </w:tcPr>
          <w:p w14:paraId="6EE0CF74"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df</w:t>
            </w:r>
          </w:p>
        </w:tc>
        <w:tc>
          <w:tcPr>
            <w:tcW w:w="1383" w:type="dxa"/>
            <w:shd w:val="clear" w:color="auto" w:fill="FFFFFF"/>
            <w:tcMar>
              <w:top w:w="30" w:type="dxa"/>
              <w:left w:w="30" w:type="dxa"/>
              <w:bottom w:w="30" w:type="dxa"/>
              <w:right w:w="30" w:type="dxa"/>
            </w:tcMar>
            <w:vAlign w:val="bottom"/>
          </w:tcPr>
          <w:p w14:paraId="41838490"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Mean Square</w:t>
            </w:r>
          </w:p>
        </w:tc>
        <w:tc>
          <w:tcPr>
            <w:tcW w:w="1000" w:type="dxa"/>
            <w:shd w:val="clear" w:color="auto" w:fill="FFFFFF"/>
            <w:tcMar>
              <w:top w:w="30" w:type="dxa"/>
              <w:left w:w="30" w:type="dxa"/>
              <w:bottom w:w="30" w:type="dxa"/>
              <w:right w:w="30" w:type="dxa"/>
            </w:tcMar>
            <w:vAlign w:val="bottom"/>
          </w:tcPr>
          <w:p w14:paraId="6D81569C"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F</w:t>
            </w:r>
          </w:p>
        </w:tc>
        <w:tc>
          <w:tcPr>
            <w:tcW w:w="1000" w:type="dxa"/>
            <w:shd w:val="clear" w:color="auto" w:fill="FFFFFF"/>
            <w:tcMar>
              <w:top w:w="30" w:type="dxa"/>
              <w:left w:w="30" w:type="dxa"/>
              <w:bottom w:w="30" w:type="dxa"/>
              <w:right w:w="30" w:type="dxa"/>
            </w:tcMar>
            <w:vAlign w:val="bottom"/>
          </w:tcPr>
          <w:p w14:paraId="15E497C2"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Sig.</w:t>
            </w:r>
          </w:p>
        </w:tc>
      </w:tr>
      <w:tr w:rsidR="00D31548" w:rsidRPr="00D31548" w14:paraId="20506712" w14:textId="77777777" w:rsidTr="00D31548">
        <w:trPr>
          <w:cantSplit/>
          <w:tblHeader/>
          <w:jc w:val="center"/>
        </w:trPr>
        <w:tc>
          <w:tcPr>
            <w:tcW w:w="420" w:type="dxa"/>
            <w:vMerge w:val="restart"/>
            <w:shd w:val="clear" w:color="auto" w:fill="FFFFFF"/>
            <w:tcMar>
              <w:top w:w="30" w:type="dxa"/>
              <w:left w:w="30" w:type="dxa"/>
              <w:bottom w:w="30" w:type="dxa"/>
              <w:right w:w="30" w:type="dxa"/>
            </w:tcMar>
          </w:tcPr>
          <w:p w14:paraId="4C9F5F23"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1</w:t>
            </w:r>
          </w:p>
        </w:tc>
        <w:tc>
          <w:tcPr>
            <w:tcW w:w="1258" w:type="dxa"/>
            <w:shd w:val="clear" w:color="auto" w:fill="FFFFFF"/>
            <w:tcMar>
              <w:top w:w="30" w:type="dxa"/>
              <w:left w:w="30" w:type="dxa"/>
              <w:bottom w:w="30" w:type="dxa"/>
              <w:right w:w="30" w:type="dxa"/>
            </w:tcMar>
          </w:tcPr>
          <w:p w14:paraId="191192DD"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Regression</w:t>
            </w:r>
          </w:p>
        </w:tc>
        <w:tc>
          <w:tcPr>
            <w:tcW w:w="1441" w:type="dxa"/>
            <w:shd w:val="clear" w:color="auto" w:fill="FFFFFF"/>
            <w:tcMar>
              <w:top w:w="30" w:type="dxa"/>
              <w:left w:w="30" w:type="dxa"/>
              <w:bottom w:w="30" w:type="dxa"/>
              <w:right w:w="30" w:type="dxa"/>
            </w:tcMar>
            <w:vAlign w:val="center"/>
          </w:tcPr>
          <w:p w14:paraId="523BF742"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2067.561</w:t>
            </w:r>
          </w:p>
        </w:tc>
        <w:tc>
          <w:tcPr>
            <w:tcW w:w="998" w:type="dxa"/>
            <w:shd w:val="clear" w:color="auto" w:fill="FFFFFF"/>
            <w:tcMar>
              <w:top w:w="30" w:type="dxa"/>
              <w:left w:w="30" w:type="dxa"/>
              <w:bottom w:w="30" w:type="dxa"/>
              <w:right w:w="30" w:type="dxa"/>
            </w:tcMar>
            <w:vAlign w:val="center"/>
          </w:tcPr>
          <w:p w14:paraId="61898A0C"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3</w:t>
            </w:r>
          </w:p>
        </w:tc>
        <w:tc>
          <w:tcPr>
            <w:tcW w:w="1383" w:type="dxa"/>
            <w:shd w:val="clear" w:color="auto" w:fill="FFFFFF"/>
            <w:tcMar>
              <w:top w:w="30" w:type="dxa"/>
              <w:left w:w="30" w:type="dxa"/>
              <w:bottom w:w="30" w:type="dxa"/>
              <w:right w:w="30" w:type="dxa"/>
            </w:tcMar>
            <w:vAlign w:val="center"/>
          </w:tcPr>
          <w:p w14:paraId="7481DDDA"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689.187</w:t>
            </w:r>
          </w:p>
        </w:tc>
        <w:tc>
          <w:tcPr>
            <w:tcW w:w="1000" w:type="dxa"/>
            <w:shd w:val="clear" w:color="auto" w:fill="FFFFFF"/>
            <w:tcMar>
              <w:top w:w="30" w:type="dxa"/>
              <w:left w:w="30" w:type="dxa"/>
              <w:bottom w:w="30" w:type="dxa"/>
              <w:right w:w="30" w:type="dxa"/>
            </w:tcMar>
            <w:vAlign w:val="center"/>
          </w:tcPr>
          <w:p w14:paraId="3528D8D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2.437</w:t>
            </w:r>
          </w:p>
        </w:tc>
        <w:tc>
          <w:tcPr>
            <w:tcW w:w="1000" w:type="dxa"/>
            <w:shd w:val="clear" w:color="auto" w:fill="FFFFFF"/>
            <w:tcMar>
              <w:top w:w="30" w:type="dxa"/>
              <w:left w:w="30" w:type="dxa"/>
              <w:bottom w:w="30" w:type="dxa"/>
              <w:right w:w="30" w:type="dxa"/>
            </w:tcMar>
            <w:vAlign w:val="center"/>
          </w:tcPr>
          <w:p w14:paraId="7B12EE64"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.070</w:t>
            </w:r>
            <w:r w:rsidRPr="00D31548">
              <w:rPr>
                <w:rFonts w:ascii="Garamond" w:hAnsi="Garamond" w:cstheme="majorBidi"/>
                <w:color w:val="000000"/>
                <w:sz w:val="26"/>
                <w:szCs w:val="26"/>
                <w:vertAlign w:val="superscript"/>
              </w:rPr>
              <w:t>a</w:t>
            </w:r>
          </w:p>
        </w:tc>
      </w:tr>
      <w:tr w:rsidR="00D31548" w:rsidRPr="00D31548" w14:paraId="71278EBB" w14:textId="77777777" w:rsidTr="00D31548">
        <w:trPr>
          <w:cantSplit/>
          <w:tblHeader/>
          <w:jc w:val="center"/>
        </w:trPr>
        <w:tc>
          <w:tcPr>
            <w:tcW w:w="420" w:type="dxa"/>
            <w:vMerge/>
            <w:shd w:val="clear" w:color="auto" w:fill="FFFFFF"/>
            <w:tcMar>
              <w:top w:w="30" w:type="dxa"/>
              <w:left w:w="30" w:type="dxa"/>
              <w:bottom w:w="30" w:type="dxa"/>
              <w:right w:w="30" w:type="dxa"/>
            </w:tcMar>
          </w:tcPr>
          <w:p w14:paraId="478ED104"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1258" w:type="dxa"/>
            <w:shd w:val="clear" w:color="auto" w:fill="FFFFFF"/>
            <w:tcMar>
              <w:top w:w="30" w:type="dxa"/>
              <w:left w:w="30" w:type="dxa"/>
              <w:bottom w:w="30" w:type="dxa"/>
              <w:right w:w="30" w:type="dxa"/>
            </w:tcMar>
          </w:tcPr>
          <w:p w14:paraId="4CF55820"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Residual</w:t>
            </w:r>
          </w:p>
        </w:tc>
        <w:tc>
          <w:tcPr>
            <w:tcW w:w="1441" w:type="dxa"/>
            <w:shd w:val="clear" w:color="auto" w:fill="FFFFFF"/>
            <w:tcMar>
              <w:top w:w="30" w:type="dxa"/>
              <w:left w:w="30" w:type="dxa"/>
              <w:bottom w:w="30" w:type="dxa"/>
              <w:right w:w="30" w:type="dxa"/>
            </w:tcMar>
            <w:vAlign w:val="center"/>
          </w:tcPr>
          <w:p w14:paraId="7B429D0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25456.364</w:t>
            </w:r>
          </w:p>
        </w:tc>
        <w:tc>
          <w:tcPr>
            <w:tcW w:w="998" w:type="dxa"/>
            <w:shd w:val="clear" w:color="auto" w:fill="FFFFFF"/>
            <w:tcMar>
              <w:top w:w="30" w:type="dxa"/>
              <w:left w:w="30" w:type="dxa"/>
              <w:bottom w:w="30" w:type="dxa"/>
              <w:right w:w="30" w:type="dxa"/>
            </w:tcMar>
            <w:vAlign w:val="center"/>
          </w:tcPr>
          <w:p w14:paraId="458E70A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90</w:t>
            </w:r>
          </w:p>
        </w:tc>
        <w:tc>
          <w:tcPr>
            <w:tcW w:w="1383" w:type="dxa"/>
            <w:shd w:val="clear" w:color="auto" w:fill="FFFFFF"/>
            <w:tcMar>
              <w:top w:w="30" w:type="dxa"/>
              <w:left w:w="30" w:type="dxa"/>
              <w:bottom w:w="30" w:type="dxa"/>
              <w:right w:w="30" w:type="dxa"/>
            </w:tcMar>
            <w:vAlign w:val="center"/>
          </w:tcPr>
          <w:p w14:paraId="04858EF8"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282.848</w:t>
            </w:r>
          </w:p>
        </w:tc>
        <w:tc>
          <w:tcPr>
            <w:tcW w:w="1000" w:type="dxa"/>
            <w:shd w:val="clear" w:color="auto" w:fill="FFFFFF"/>
            <w:tcMar>
              <w:top w:w="30" w:type="dxa"/>
              <w:left w:w="30" w:type="dxa"/>
              <w:bottom w:w="30" w:type="dxa"/>
              <w:right w:w="30" w:type="dxa"/>
            </w:tcMar>
          </w:tcPr>
          <w:p w14:paraId="12CA65B6" w14:textId="77777777" w:rsidR="00D31548" w:rsidRPr="00D31548" w:rsidRDefault="00D31548" w:rsidP="00D31548">
            <w:pPr>
              <w:autoSpaceDE w:val="0"/>
              <w:autoSpaceDN w:val="0"/>
              <w:adjustRightInd w:val="0"/>
              <w:rPr>
                <w:rFonts w:ascii="Garamond" w:hAnsi="Garamond" w:cstheme="majorBidi"/>
                <w:sz w:val="26"/>
                <w:szCs w:val="26"/>
              </w:rPr>
            </w:pPr>
          </w:p>
        </w:tc>
        <w:tc>
          <w:tcPr>
            <w:tcW w:w="1000" w:type="dxa"/>
            <w:shd w:val="clear" w:color="auto" w:fill="FFFFFF"/>
            <w:tcMar>
              <w:top w:w="30" w:type="dxa"/>
              <w:left w:w="30" w:type="dxa"/>
              <w:bottom w:w="30" w:type="dxa"/>
              <w:right w:w="30" w:type="dxa"/>
            </w:tcMar>
          </w:tcPr>
          <w:p w14:paraId="79ACB1A2" w14:textId="77777777" w:rsidR="00D31548" w:rsidRPr="00D31548" w:rsidRDefault="00D31548" w:rsidP="00D31548">
            <w:pPr>
              <w:autoSpaceDE w:val="0"/>
              <w:autoSpaceDN w:val="0"/>
              <w:adjustRightInd w:val="0"/>
              <w:rPr>
                <w:rFonts w:ascii="Garamond" w:hAnsi="Garamond" w:cstheme="majorBidi"/>
                <w:sz w:val="26"/>
                <w:szCs w:val="26"/>
              </w:rPr>
            </w:pPr>
          </w:p>
        </w:tc>
      </w:tr>
      <w:tr w:rsidR="00D31548" w:rsidRPr="00D31548" w14:paraId="6109B5BC" w14:textId="77777777" w:rsidTr="00D31548">
        <w:trPr>
          <w:cantSplit/>
          <w:tblHeader/>
          <w:jc w:val="center"/>
        </w:trPr>
        <w:tc>
          <w:tcPr>
            <w:tcW w:w="420" w:type="dxa"/>
            <w:vMerge/>
            <w:shd w:val="clear" w:color="auto" w:fill="FFFFFF"/>
            <w:tcMar>
              <w:top w:w="30" w:type="dxa"/>
              <w:left w:w="30" w:type="dxa"/>
              <w:bottom w:w="30" w:type="dxa"/>
              <w:right w:w="30" w:type="dxa"/>
            </w:tcMar>
          </w:tcPr>
          <w:p w14:paraId="159B97F1" w14:textId="77777777" w:rsidR="00D31548" w:rsidRPr="00D31548" w:rsidRDefault="00D31548" w:rsidP="00D31548">
            <w:pPr>
              <w:autoSpaceDE w:val="0"/>
              <w:autoSpaceDN w:val="0"/>
              <w:adjustRightInd w:val="0"/>
              <w:rPr>
                <w:rFonts w:ascii="Garamond" w:hAnsi="Garamond" w:cstheme="majorBidi"/>
                <w:sz w:val="26"/>
                <w:szCs w:val="26"/>
              </w:rPr>
            </w:pPr>
          </w:p>
        </w:tc>
        <w:tc>
          <w:tcPr>
            <w:tcW w:w="1258" w:type="dxa"/>
            <w:shd w:val="clear" w:color="auto" w:fill="FFFFFF"/>
            <w:tcMar>
              <w:top w:w="30" w:type="dxa"/>
              <w:left w:w="30" w:type="dxa"/>
              <w:bottom w:w="30" w:type="dxa"/>
              <w:right w:w="30" w:type="dxa"/>
            </w:tcMar>
          </w:tcPr>
          <w:p w14:paraId="0D20C3B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Total</w:t>
            </w:r>
          </w:p>
        </w:tc>
        <w:tc>
          <w:tcPr>
            <w:tcW w:w="1441" w:type="dxa"/>
            <w:shd w:val="clear" w:color="auto" w:fill="FFFFFF"/>
            <w:tcMar>
              <w:top w:w="30" w:type="dxa"/>
              <w:left w:w="30" w:type="dxa"/>
              <w:bottom w:w="30" w:type="dxa"/>
              <w:right w:w="30" w:type="dxa"/>
            </w:tcMar>
            <w:vAlign w:val="center"/>
          </w:tcPr>
          <w:p w14:paraId="3D00B159"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27523.926</w:t>
            </w:r>
          </w:p>
        </w:tc>
        <w:tc>
          <w:tcPr>
            <w:tcW w:w="998" w:type="dxa"/>
            <w:shd w:val="clear" w:color="auto" w:fill="FFFFFF"/>
            <w:tcMar>
              <w:top w:w="30" w:type="dxa"/>
              <w:left w:w="30" w:type="dxa"/>
              <w:bottom w:w="30" w:type="dxa"/>
              <w:right w:w="30" w:type="dxa"/>
            </w:tcMar>
            <w:vAlign w:val="center"/>
          </w:tcPr>
          <w:p w14:paraId="5EA07ED1"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93</w:t>
            </w:r>
          </w:p>
        </w:tc>
        <w:tc>
          <w:tcPr>
            <w:tcW w:w="1383" w:type="dxa"/>
            <w:shd w:val="clear" w:color="auto" w:fill="FFFFFF"/>
            <w:tcMar>
              <w:top w:w="30" w:type="dxa"/>
              <w:left w:w="30" w:type="dxa"/>
              <w:bottom w:w="30" w:type="dxa"/>
              <w:right w:w="30" w:type="dxa"/>
            </w:tcMar>
          </w:tcPr>
          <w:p w14:paraId="4E2E0FCF" w14:textId="77777777" w:rsidR="00D31548" w:rsidRPr="00D31548" w:rsidRDefault="00D31548" w:rsidP="00D31548">
            <w:pPr>
              <w:autoSpaceDE w:val="0"/>
              <w:autoSpaceDN w:val="0"/>
              <w:adjustRightInd w:val="0"/>
              <w:rPr>
                <w:rFonts w:ascii="Garamond" w:hAnsi="Garamond" w:cstheme="majorBidi"/>
                <w:sz w:val="26"/>
                <w:szCs w:val="26"/>
              </w:rPr>
            </w:pPr>
          </w:p>
        </w:tc>
        <w:tc>
          <w:tcPr>
            <w:tcW w:w="1000" w:type="dxa"/>
            <w:shd w:val="clear" w:color="auto" w:fill="FFFFFF"/>
            <w:tcMar>
              <w:top w:w="30" w:type="dxa"/>
              <w:left w:w="30" w:type="dxa"/>
              <w:bottom w:w="30" w:type="dxa"/>
              <w:right w:w="30" w:type="dxa"/>
            </w:tcMar>
          </w:tcPr>
          <w:p w14:paraId="58216A04" w14:textId="77777777" w:rsidR="00D31548" w:rsidRPr="00D31548" w:rsidRDefault="00D31548" w:rsidP="00D31548">
            <w:pPr>
              <w:autoSpaceDE w:val="0"/>
              <w:autoSpaceDN w:val="0"/>
              <w:adjustRightInd w:val="0"/>
              <w:rPr>
                <w:rFonts w:ascii="Garamond" w:hAnsi="Garamond" w:cstheme="majorBidi"/>
                <w:sz w:val="26"/>
                <w:szCs w:val="26"/>
              </w:rPr>
            </w:pPr>
          </w:p>
        </w:tc>
        <w:tc>
          <w:tcPr>
            <w:tcW w:w="1000" w:type="dxa"/>
            <w:shd w:val="clear" w:color="auto" w:fill="FFFFFF"/>
            <w:tcMar>
              <w:top w:w="30" w:type="dxa"/>
              <w:left w:w="30" w:type="dxa"/>
              <w:bottom w:w="30" w:type="dxa"/>
              <w:right w:w="30" w:type="dxa"/>
            </w:tcMar>
          </w:tcPr>
          <w:p w14:paraId="14ECF1EC" w14:textId="77777777" w:rsidR="00D31548" w:rsidRPr="00D31548" w:rsidRDefault="00D31548" w:rsidP="00D31548">
            <w:pPr>
              <w:autoSpaceDE w:val="0"/>
              <w:autoSpaceDN w:val="0"/>
              <w:adjustRightInd w:val="0"/>
              <w:rPr>
                <w:rFonts w:ascii="Garamond" w:hAnsi="Garamond" w:cstheme="majorBidi"/>
                <w:sz w:val="26"/>
                <w:szCs w:val="26"/>
              </w:rPr>
            </w:pPr>
          </w:p>
        </w:tc>
      </w:tr>
      <w:tr w:rsidR="00D31548" w:rsidRPr="00D31548" w14:paraId="7AD784F0" w14:textId="77777777" w:rsidTr="00D31548">
        <w:trPr>
          <w:cantSplit/>
          <w:jc w:val="center"/>
        </w:trPr>
        <w:tc>
          <w:tcPr>
            <w:tcW w:w="7500" w:type="dxa"/>
            <w:gridSpan w:val="7"/>
            <w:tcBorders>
              <w:bottom w:val="nil"/>
            </w:tcBorders>
            <w:shd w:val="clear" w:color="auto" w:fill="FFFFFF"/>
            <w:tcMar>
              <w:top w:w="30" w:type="dxa"/>
              <w:left w:w="30" w:type="dxa"/>
              <w:bottom w:w="30" w:type="dxa"/>
              <w:right w:w="30" w:type="dxa"/>
            </w:tcMar>
          </w:tcPr>
          <w:p w14:paraId="4C8DE6AE" w14:textId="77777777" w:rsidR="00D31548" w:rsidRPr="00D31548" w:rsidRDefault="00D31548" w:rsidP="00D31548">
            <w:pPr>
              <w:autoSpaceDE w:val="0"/>
              <w:autoSpaceDN w:val="0"/>
              <w:adjustRightInd w:val="0"/>
              <w:rPr>
                <w:rFonts w:ascii="Garamond" w:hAnsi="Garamond" w:cstheme="majorBidi"/>
                <w:sz w:val="26"/>
                <w:szCs w:val="26"/>
              </w:rPr>
            </w:pPr>
            <w:r w:rsidRPr="00D31548">
              <w:rPr>
                <w:rFonts w:ascii="Garamond" w:hAnsi="Garamond" w:cstheme="majorBidi"/>
                <w:color w:val="000000"/>
                <w:sz w:val="26"/>
                <w:szCs w:val="26"/>
              </w:rPr>
              <w:t>a. Predictors: (Constant), income, marital status, gender</w:t>
            </w:r>
          </w:p>
        </w:tc>
      </w:tr>
      <w:tr w:rsidR="00D31548" w:rsidRPr="00D31548" w14:paraId="4ADE5CCC" w14:textId="77777777" w:rsidTr="00D31548">
        <w:trPr>
          <w:cantSplit/>
          <w:jc w:val="center"/>
        </w:trPr>
        <w:tc>
          <w:tcPr>
            <w:tcW w:w="7500" w:type="dxa"/>
            <w:gridSpan w:val="7"/>
            <w:tcBorders>
              <w:top w:val="nil"/>
            </w:tcBorders>
            <w:shd w:val="clear" w:color="auto" w:fill="FFFFFF"/>
            <w:tcMar>
              <w:top w:w="30" w:type="dxa"/>
              <w:left w:w="30" w:type="dxa"/>
              <w:bottom w:w="30" w:type="dxa"/>
              <w:right w:w="30" w:type="dxa"/>
            </w:tcMar>
          </w:tcPr>
          <w:p w14:paraId="3913E253" w14:textId="77777777" w:rsidR="00D31548" w:rsidRPr="00D31548" w:rsidRDefault="00D31548" w:rsidP="00D31548">
            <w:pPr>
              <w:autoSpaceDE w:val="0"/>
              <w:autoSpaceDN w:val="0"/>
              <w:adjustRightInd w:val="0"/>
              <w:rPr>
                <w:rFonts w:ascii="Garamond" w:hAnsi="Garamond" w:cstheme="majorBidi"/>
                <w:sz w:val="26"/>
                <w:szCs w:val="26"/>
              </w:rPr>
            </w:pPr>
            <w:r w:rsidRPr="00D31548">
              <w:rPr>
                <w:rFonts w:ascii="Garamond" w:hAnsi="Garamond" w:cstheme="majorBidi"/>
                <w:color w:val="000000"/>
                <w:sz w:val="26"/>
                <w:szCs w:val="26"/>
              </w:rPr>
              <w:t xml:space="preserve">b. Dependent Variable: </w:t>
            </w:r>
            <w:proofErr w:type="spellStart"/>
            <w:r w:rsidRPr="00D31548">
              <w:rPr>
                <w:rFonts w:ascii="Garamond" w:hAnsi="Garamond" w:cstheme="majorBidi"/>
                <w:color w:val="000000"/>
                <w:sz w:val="26"/>
                <w:szCs w:val="26"/>
              </w:rPr>
              <w:t>total_all</w:t>
            </w:r>
            <w:proofErr w:type="spellEnd"/>
          </w:p>
        </w:tc>
      </w:tr>
    </w:tbl>
    <w:p w14:paraId="045DDFCE" w14:textId="565E5E75" w:rsidR="00D31548" w:rsidRPr="00F36D3A" w:rsidRDefault="00D31548" w:rsidP="00F36D3A">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0C8E5FA5" w14:textId="7D5A9228" w:rsidR="00D31548" w:rsidRPr="00D31548"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From the test results above, by looking at the standardized coefficients column can be obtained a regression equation, namely:</w:t>
      </w:r>
    </w:p>
    <w:p w14:paraId="4CF7F822" w14:textId="77777777" w:rsidR="00D31548" w:rsidRPr="00D31548" w:rsidRDefault="00D31548" w:rsidP="00D31548">
      <w:pPr>
        <w:spacing w:line="276" w:lineRule="auto"/>
        <w:jc w:val="both"/>
        <w:rPr>
          <w:rFonts w:ascii="Garamond" w:hAnsi="Garamond" w:cstheme="majorBidi"/>
          <w:b/>
          <w:bCs/>
          <w:sz w:val="26"/>
          <w:szCs w:val="26"/>
        </w:rPr>
      </w:pPr>
      <w:r w:rsidRPr="00D31548">
        <w:rPr>
          <w:rFonts w:ascii="Garamond" w:hAnsi="Garamond" w:cstheme="majorBidi"/>
          <w:b/>
          <w:bCs/>
          <w:sz w:val="26"/>
          <w:szCs w:val="26"/>
        </w:rPr>
        <w:t xml:space="preserve">Financial literacy level = -0,027 Gender + 0,250 Marital Status + 0.075 Income </w:t>
      </w:r>
      <w:proofErr w:type="spellStart"/>
      <w:r w:rsidRPr="00D31548">
        <w:rPr>
          <w:rFonts w:ascii="Garamond" w:hAnsi="Garamond" w:cstheme="majorBidi"/>
          <w:b/>
          <w:bCs/>
          <w:sz w:val="26"/>
          <w:szCs w:val="26"/>
        </w:rPr>
        <w:t>permonth</w:t>
      </w:r>
      <w:proofErr w:type="spellEnd"/>
      <w:r w:rsidRPr="00D31548">
        <w:rPr>
          <w:rFonts w:ascii="Garamond" w:hAnsi="Garamond" w:cstheme="majorBidi"/>
          <w:b/>
          <w:bCs/>
          <w:sz w:val="26"/>
          <w:szCs w:val="26"/>
        </w:rPr>
        <w:t xml:space="preserve"> + e </w:t>
      </w:r>
    </w:p>
    <w:p w14:paraId="5FF71D39" w14:textId="77777777" w:rsidR="00D31548" w:rsidRPr="00D31548" w:rsidRDefault="00D31548" w:rsidP="00D31548">
      <w:pPr>
        <w:spacing w:line="276" w:lineRule="auto"/>
        <w:rPr>
          <w:rFonts w:ascii="Garamond" w:hAnsi="Garamond" w:cstheme="majorBidi"/>
          <w:b/>
          <w:sz w:val="26"/>
          <w:szCs w:val="26"/>
        </w:rPr>
      </w:pPr>
    </w:p>
    <w:p w14:paraId="2628EAA0" w14:textId="647BBD1F" w:rsidR="00D31548" w:rsidRPr="00D31548" w:rsidRDefault="00D31548" w:rsidP="00D31548">
      <w:pPr>
        <w:spacing w:line="276" w:lineRule="auto"/>
        <w:rPr>
          <w:rFonts w:ascii="Garamond" w:hAnsi="Garamond" w:cstheme="majorBidi"/>
          <w:b/>
          <w:sz w:val="26"/>
          <w:szCs w:val="26"/>
        </w:rPr>
      </w:pPr>
      <w:r w:rsidRPr="00D31548">
        <w:rPr>
          <w:rFonts w:ascii="Garamond" w:hAnsi="Garamond" w:cstheme="majorBidi"/>
          <w:b/>
          <w:sz w:val="26"/>
          <w:szCs w:val="26"/>
        </w:rPr>
        <w:t>Classic Assumption Test</w:t>
      </w:r>
    </w:p>
    <w:p w14:paraId="0ABDCA94" w14:textId="77777777" w:rsidR="00D31548" w:rsidRPr="00D31548" w:rsidRDefault="00D31548" w:rsidP="00D31548">
      <w:pPr>
        <w:spacing w:line="276" w:lineRule="auto"/>
        <w:jc w:val="both"/>
        <w:rPr>
          <w:rFonts w:ascii="Garamond" w:hAnsi="Garamond" w:cstheme="majorBidi"/>
          <w:b/>
          <w:bCs/>
          <w:sz w:val="26"/>
          <w:szCs w:val="26"/>
        </w:rPr>
      </w:pPr>
      <w:proofErr w:type="spellStart"/>
      <w:r w:rsidRPr="00D31548">
        <w:rPr>
          <w:rFonts w:ascii="Garamond" w:hAnsi="Garamond" w:cstheme="majorBidi"/>
          <w:b/>
          <w:bCs/>
          <w:sz w:val="26"/>
          <w:szCs w:val="26"/>
        </w:rPr>
        <w:t>Heterokedastisity</w:t>
      </w:r>
      <w:proofErr w:type="spellEnd"/>
      <w:r w:rsidRPr="00D31548">
        <w:rPr>
          <w:rFonts w:ascii="Garamond" w:hAnsi="Garamond" w:cstheme="majorBidi"/>
          <w:b/>
          <w:bCs/>
          <w:sz w:val="26"/>
          <w:szCs w:val="26"/>
        </w:rPr>
        <w:t xml:space="preserve"> Test</w:t>
      </w:r>
    </w:p>
    <w:p w14:paraId="2E114A10"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Heteroscedasticity test is performed to determine whether there is a variance in residual variance for all observations in the regression model using the glacier test. The following are the results of the heteroscedasticity test:</w:t>
      </w:r>
    </w:p>
    <w:p w14:paraId="6853076D"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6</w:t>
      </w:r>
    </w:p>
    <w:p w14:paraId="5450C29A" w14:textId="77777777" w:rsidR="00D31548" w:rsidRPr="00D31548" w:rsidRDefault="00D31548" w:rsidP="00D31548">
      <w:pPr>
        <w:pStyle w:val="ListParagraph"/>
        <w:spacing w:after="0"/>
        <w:ind w:left="0"/>
        <w:jc w:val="center"/>
        <w:rPr>
          <w:rFonts w:ascii="Garamond" w:hAnsi="Garamond" w:cstheme="majorBidi"/>
          <w:sz w:val="26"/>
          <w:szCs w:val="26"/>
        </w:rPr>
      </w:pPr>
      <w:proofErr w:type="spellStart"/>
      <w:r w:rsidRPr="00D31548">
        <w:rPr>
          <w:rFonts w:ascii="Garamond" w:hAnsi="Garamond" w:cstheme="majorBidi"/>
          <w:sz w:val="26"/>
          <w:szCs w:val="26"/>
        </w:rPr>
        <w:t>Heterokedastisity</w:t>
      </w:r>
      <w:proofErr w:type="spellEnd"/>
      <w:r w:rsidRPr="00D31548">
        <w:rPr>
          <w:rFonts w:ascii="Garamond" w:hAnsi="Garamond" w:cstheme="majorBidi"/>
          <w:sz w:val="26"/>
          <w:szCs w:val="26"/>
        </w:rPr>
        <w:t xml:space="preserve"> Result</w:t>
      </w: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0"/>
        <w:gridCol w:w="3800"/>
        <w:gridCol w:w="3060"/>
      </w:tblGrid>
      <w:tr w:rsidR="00D31548" w:rsidRPr="00D31548" w14:paraId="5F3685E3" w14:textId="77777777" w:rsidTr="00D31548">
        <w:trPr>
          <w:cantSplit/>
          <w:trHeight w:val="552"/>
          <w:tblHeader/>
          <w:jc w:val="center"/>
        </w:trPr>
        <w:tc>
          <w:tcPr>
            <w:tcW w:w="4070" w:type="dxa"/>
            <w:gridSpan w:val="2"/>
            <w:vMerge w:val="restart"/>
            <w:shd w:val="clear" w:color="auto" w:fill="FFFFFF"/>
            <w:tcMar>
              <w:top w:w="30" w:type="dxa"/>
              <w:left w:w="30" w:type="dxa"/>
              <w:bottom w:w="30" w:type="dxa"/>
              <w:right w:w="30" w:type="dxa"/>
            </w:tcMar>
            <w:vAlign w:val="bottom"/>
          </w:tcPr>
          <w:p w14:paraId="39467E43"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Model</w:t>
            </w:r>
          </w:p>
        </w:tc>
        <w:tc>
          <w:tcPr>
            <w:tcW w:w="3060" w:type="dxa"/>
            <w:vMerge w:val="restart"/>
            <w:tcBorders>
              <w:top w:val="single" w:sz="4" w:space="0" w:color="auto"/>
            </w:tcBorders>
            <w:shd w:val="clear" w:color="auto" w:fill="FFFFFF"/>
            <w:tcMar>
              <w:top w:w="30" w:type="dxa"/>
              <w:left w:w="30" w:type="dxa"/>
              <w:bottom w:w="30" w:type="dxa"/>
              <w:right w:w="30" w:type="dxa"/>
            </w:tcMar>
            <w:vAlign w:val="bottom"/>
          </w:tcPr>
          <w:p w14:paraId="6066B4E4"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Sig.</w:t>
            </w:r>
          </w:p>
        </w:tc>
      </w:tr>
      <w:tr w:rsidR="00D31548" w:rsidRPr="00D31548" w14:paraId="03360E06" w14:textId="77777777" w:rsidTr="00D31548">
        <w:trPr>
          <w:cantSplit/>
          <w:trHeight w:val="293"/>
          <w:tblHeader/>
          <w:jc w:val="center"/>
        </w:trPr>
        <w:tc>
          <w:tcPr>
            <w:tcW w:w="4070" w:type="dxa"/>
            <w:gridSpan w:val="2"/>
            <w:vMerge/>
            <w:shd w:val="clear" w:color="auto" w:fill="FFFFFF"/>
            <w:tcMar>
              <w:top w:w="30" w:type="dxa"/>
              <w:left w:w="30" w:type="dxa"/>
              <w:bottom w:w="30" w:type="dxa"/>
              <w:right w:w="30" w:type="dxa"/>
            </w:tcMar>
            <w:vAlign w:val="bottom"/>
          </w:tcPr>
          <w:p w14:paraId="49BB475B"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3060" w:type="dxa"/>
            <w:vMerge/>
            <w:tcBorders>
              <w:top w:val="nil"/>
            </w:tcBorders>
            <w:shd w:val="clear" w:color="auto" w:fill="FFFFFF"/>
            <w:tcMar>
              <w:top w:w="30" w:type="dxa"/>
              <w:left w:w="30" w:type="dxa"/>
              <w:bottom w:w="30" w:type="dxa"/>
              <w:right w:w="30" w:type="dxa"/>
            </w:tcMar>
            <w:vAlign w:val="bottom"/>
          </w:tcPr>
          <w:p w14:paraId="30AD4B7F" w14:textId="77777777" w:rsidR="00D31548" w:rsidRPr="00D31548" w:rsidRDefault="00D31548" w:rsidP="00D31548">
            <w:pPr>
              <w:autoSpaceDE w:val="0"/>
              <w:autoSpaceDN w:val="0"/>
              <w:adjustRightInd w:val="0"/>
              <w:rPr>
                <w:rFonts w:ascii="Garamond" w:hAnsi="Garamond" w:cstheme="majorBidi"/>
                <w:color w:val="000000"/>
                <w:sz w:val="26"/>
                <w:szCs w:val="26"/>
              </w:rPr>
            </w:pPr>
          </w:p>
        </w:tc>
      </w:tr>
      <w:tr w:rsidR="00D31548" w:rsidRPr="00D31548" w14:paraId="098770BE" w14:textId="77777777" w:rsidTr="00D31548">
        <w:trPr>
          <w:cantSplit/>
          <w:tblHeader/>
          <w:jc w:val="center"/>
        </w:trPr>
        <w:tc>
          <w:tcPr>
            <w:tcW w:w="270" w:type="dxa"/>
            <w:vMerge w:val="restart"/>
            <w:shd w:val="clear" w:color="auto" w:fill="FFFFFF"/>
            <w:tcMar>
              <w:top w:w="30" w:type="dxa"/>
              <w:left w:w="30" w:type="dxa"/>
              <w:bottom w:w="30" w:type="dxa"/>
              <w:right w:w="30" w:type="dxa"/>
            </w:tcMar>
          </w:tcPr>
          <w:p w14:paraId="4BC4A936"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1</w:t>
            </w:r>
          </w:p>
        </w:tc>
        <w:tc>
          <w:tcPr>
            <w:tcW w:w="3800" w:type="dxa"/>
            <w:shd w:val="clear" w:color="auto" w:fill="FFFFFF"/>
            <w:tcMar>
              <w:top w:w="30" w:type="dxa"/>
              <w:left w:w="30" w:type="dxa"/>
              <w:bottom w:w="30" w:type="dxa"/>
              <w:right w:w="30" w:type="dxa"/>
            </w:tcMar>
          </w:tcPr>
          <w:p w14:paraId="529C5CD4"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(Constant)</w:t>
            </w:r>
          </w:p>
        </w:tc>
        <w:tc>
          <w:tcPr>
            <w:tcW w:w="3060" w:type="dxa"/>
            <w:shd w:val="clear" w:color="auto" w:fill="FFFFFF"/>
            <w:tcMar>
              <w:top w:w="30" w:type="dxa"/>
              <w:left w:w="30" w:type="dxa"/>
              <w:bottom w:w="30" w:type="dxa"/>
              <w:right w:w="30" w:type="dxa"/>
            </w:tcMar>
            <w:vAlign w:val="center"/>
          </w:tcPr>
          <w:p w14:paraId="53A2042F"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.149</w:t>
            </w:r>
          </w:p>
        </w:tc>
      </w:tr>
      <w:tr w:rsidR="00D31548" w:rsidRPr="00D31548" w14:paraId="1AA59315" w14:textId="77777777" w:rsidTr="00D31548">
        <w:trPr>
          <w:cantSplit/>
          <w:tblHeader/>
          <w:jc w:val="center"/>
        </w:trPr>
        <w:tc>
          <w:tcPr>
            <w:tcW w:w="270" w:type="dxa"/>
            <w:vMerge/>
            <w:shd w:val="clear" w:color="auto" w:fill="FFFFFF"/>
            <w:tcMar>
              <w:top w:w="30" w:type="dxa"/>
              <w:left w:w="30" w:type="dxa"/>
              <w:bottom w:w="30" w:type="dxa"/>
              <w:right w:w="30" w:type="dxa"/>
            </w:tcMar>
          </w:tcPr>
          <w:p w14:paraId="2BFCF18E" w14:textId="77777777" w:rsidR="00D31548" w:rsidRPr="00D31548" w:rsidRDefault="00D31548" w:rsidP="00D31548">
            <w:pPr>
              <w:autoSpaceDE w:val="0"/>
              <w:autoSpaceDN w:val="0"/>
              <w:adjustRightInd w:val="0"/>
              <w:rPr>
                <w:rFonts w:ascii="Garamond" w:hAnsi="Garamond" w:cstheme="majorBidi"/>
                <w:sz w:val="26"/>
                <w:szCs w:val="26"/>
              </w:rPr>
            </w:pPr>
          </w:p>
        </w:tc>
        <w:tc>
          <w:tcPr>
            <w:tcW w:w="3800" w:type="dxa"/>
            <w:shd w:val="clear" w:color="auto" w:fill="FFFFFF"/>
            <w:tcMar>
              <w:top w:w="30" w:type="dxa"/>
              <w:left w:w="30" w:type="dxa"/>
              <w:bottom w:w="30" w:type="dxa"/>
              <w:right w:w="30" w:type="dxa"/>
            </w:tcMar>
          </w:tcPr>
          <w:p w14:paraId="21CBA7D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Gender</w:t>
            </w:r>
          </w:p>
        </w:tc>
        <w:tc>
          <w:tcPr>
            <w:tcW w:w="3060" w:type="dxa"/>
            <w:shd w:val="clear" w:color="auto" w:fill="FFFFFF"/>
            <w:tcMar>
              <w:top w:w="30" w:type="dxa"/>
              <w:left w:w="30" w:type="dxa"/>
              <w:bottom w:w="30" w:type="dxa"/>
              <w:right w:w="30" w:type="dxa"/>
            </w:tcMar>
            <w:vAlign w:val="center"/>
          </w:tcPr>
          <w:p w14:paraId="1CF268A7"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.230</w:t>
            </w:r>
          </w:p>
        </w:tc>
      </w:tr>
      <w:tr w:rsidR="00D31548" w:rsidRPr="00D31548" w14:paraId="21EE934D" w14:textId="77777777" w:rsidTr="00D31548">
        <w:trPr>
          <w:cantSplit/>
          <w:tblHeader/>
          <w:jc w:val="center"/>
        </w:trPr>
        <w:tc>
          <w:tcPr>
            <w:tcW w:w="270" w:type="dxa"/>
            <w:vMerge/>
            <w:shd w:val="clear" w:color="auto" w:fill="FFFFFF"/>
            <w:tcMar>
              <w:top w:w="30" w:type="dxa"/>
              <w:left w:w="30" w:type="dxa"/>
              <w:bottom w:w="30" w:type="dxa"/>
              <w:right w:w="30" w:type="dxa"/>
            </w:tcMar>
          </w:tcPr>
          <w:p w14:paraId="5D0839E2"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3800" w:type="dxa"/>
            <w:shd w:val="clear" w:color="auto" w:fill="FFFFFF"/>
            <w:tcMar>
              <w:top w:w="30" w:type="dxa"/>
              <w:left w:w="30" w:type="dxa"/>
              <w:bottom w:w="30" w:type="dxa"/>
              <w:right w:w="30" w:type="dxa"/>
            </w:tcMar>
          </w:tcPr>
          <w:p w14:paraId="1FA18837"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Marital status</w:t>
            </w:r>
          </w:p>
        </w:tc>
        <w:tc>
          <w:tcPr>
            <w:tcW w:w="3060" w:type="dxa"/>
            <w:shd w:val="clear" w:color="auto" w:fill="FFFFFF"/>
            <w:tcMar>
              <w:top w:w="30" w:type="dxa"/>
              <w:left w:w="30" w:type="dxa"/>
              <w:bottom w:w="30" w:type="dxa"/>
              <w:right w:w="30" w:type="dxa"/>
            </w:tcMar>
            <w:vAlign w:val="center"/>
          </w:tcPr>
          <w:p w14:paraId="12F37C27"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.822</w:t>
            </w:r>
          </w:p>
        </w:tc>
      </w:tr>
      <w:tr w:rsidR="00D31548" w:rsidRPr="00D31548" w14:paraId="11D0B402" w14:textId="77777777" w:rsidTr="00D31548">
        <w:trPr>
          <w:cantSplit/>
          <w:tblHeader/>
          <w:jc w:val="center"/>
        </w:trPr>
        <w:tc>
          <w:tcPr>
            <w:tcW w:w="270" w:type="dxa"/>
            <w:vMerge/>
            <w:shd w:val="clear" w:color="auto" w:fill="FFFFFF"/>
            <w:tcMar>
              <w:top w:w="30" w:type="dxa"/>
              <w:left w:w="30" w:type="dxa"/>
              <w:bottom w:w="30" w:type="dxa"/>
              <w:right w:w="30" w:type="dxa"/>
            </w:tcMar>
          </w:tcPr>
          <w:p w14:paraId="5895AE1D"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3800" w:type="dxa"/>
            <w:shd w:val="clear" w:color="auto" w:fill="FFFFFF"/>
            <w:tcMar>
              <w:top w:w="30" w:type="dxa"/>
              <w:left w:w="30" w:type="dxa"/>
              <w:bottom w:w="30" w:type="dxa"/>
              <w:right w:w="30" w:type="dxa"/>
            </w:tcMar>
          </w:tcPr>
          <w:p w14:paraId="014570C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 xml:space="preserve">Income </w:t>
            </w:r>
            <w:proofErr w:type="spellStart"/>
            <w:r w:rsidRPr="00D31548">
              <w:rPr>
                <w:rFonts w:ascii="Garamond" w:hAnsi="Garamond" w:cstheme="majorBidi"/>
                <w:color w:val="000000"/>
                <w:sz w:val="26"/>
                <w:szCs w:val="26"/>
              </w:rPr>
              <w:t>permonth</w:t>
            </w:r>
            <w:proofErr w:type="spellEnd"/>
          </w:p>
        </w:tc>
        <w:tc>
          <w:tcPr>
            <w:tcW w:w="3060" w:type="dxa"/>
            <w:shd w:val="clear" w:color="auto" w:fill="FFFFFF"/>
            <w:tcMar>
              <w:top w:w="30" w:type="dxa"/>
              <w:left w:w="30" w:type="dxa"/>
              <w:bottom w:w="30" w:type="dxa"/>
              <w:right w:w="30" w:type="dxa"/>
            </w:tcMar>
            <w:vAlign w:val="center"/>
          </w:tcPr>
          <w:p w14:paraId="6003EE10"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.818</w:t>
            </w:r>
          </w:p>
        </w:tc>
      </w:tr>
    </w:tbl>
    <w:p w14:paraId="0E9667A7" w14:textId="77777777" w:rsidR="00D31548" w:rsidRPr="00D31548" w:rsidRDefault="00D31548" w:rsidP="00D31548">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6956A4AC" w14:textId="7A13368F" w:rsidR="00D31548" w:rsidRPr="00D31548"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Based on the table above, it can be concluded that the regression model equation in this study satisfies the assumption of non-heteroscedasticity because there is no </w:t>
      </w:r>
      <w:r w:rsidRPr="00D31548">
        <w:rPr>
          <w:rFonts w:ascii="Garamond" w:hAnsi="Garamond" w:cstheme="majorBidi"/>
          <w:sz w:val="26"/>
          <w:szCs w:val="26"/>
        </w:rPr>
        <w:lastRenderedPageBreak/>
        <w:t>significant relationship between all independent variables to the absolute residual value, where the significant value of each independent variable is greater than α (</w:t>
      </w:r>
      <w:proofErr w:type="gramStart"/>
      <w:r w:rsidRPr="00D31548">
        <w:rPr>
          <w:rFonts w:ascii="Garamond" w:hAnsi="Garamond" w:cstheme="majorBidi"/>
          <w:sz w:val="26"/>
          <w:szCs w:val="26"/>
        </w:rPr>
        <w:t>0 ,</w:t>
      </w:r>
      <w:proofErr w:type="gramEnd"/>
      <w:r w:rsidRPr="00D31548">
        <w:rPr>
          <w:rFonts w:ascii="Garamond" w:hAnsi="Garamond" w:cstheme="majorBidi"/>
          <w:sz w:val="26"/>
          <w:szCs w:val="26"/>
        </w:rPr>
        <w:t xml:space="preserve"> 05). </w:t>
      </w:r>
    </w:p>
    <w:p w14:paraId="3BF839F2" w14:textId="77777777" w:rsidR="00D31548" w:rsidRPr="00D31548" w:rsidRDefault="00D31548" w:rsidP="00D31548">
      <w:pPr>
        <w:spacing w:line="276" w:lineRule="auto"/>
        <w:jc w:val="both"/>
        <w:rPr>
          <w:rFonts w:ascii="Garamond" w:hAnsi="Garamond" w:cstheme="majorBidi"/>
          <w:b/>
          <w:bCs/>
          <w:color w:val="000000"/>
          <w:sz w:val="26"/>
          <w:szCs w:val="26"/>
        </w:rPr>
      </w:pPr>
      <w:r w:rsidRPr="00D31548">
        <w:rPr>
          <w:rFonts w:ascii="Garamond" w:hAnsi="Garamond" w:cstheme="majorBidi"/>
          <w:b/>
          <w:bCs/>
          <w:color w:val="000000"/>
          <w:sz w:val="26"/>
          <w:szCs w:val="26"/>
        </w:rPr>
        <w:t>Normality Test</w:t>
      </w:r>
    </w:p>
    <w:p w14:paraId="3CD3BC20"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To find out whether the residual value in a regression model is normally distributed or not it is necessary to test the normality. Regression models can be said to be good if the residual value is normally distributed or greater than α (0.05). The following are the results of the normality test:</w:t>
      </w:r>
    </w:p>
    <w:p w14:paraId="21E4EED8"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7</w:t>
      </w:r>
    </w:p>
    <w:p w14:paraId="66AB986D"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Normality Test Results</w:t>
      </w:r>
    </w:p>
    <w:tbl>
      <w:tblPr>
        <w:tblW w:w="71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337"/>
        <w:gridCol w:w="1530"/>
        <w:gridCol w:w="1530"/>
        <w:gridCol w:w="1713"/>
      </w:tblGrid>
      <w:tr w:rsidR="00D31548" w:rsidRPr="00D31548" w14:paraId="13C6DFF0" w14:textId="77777777" w:rsidTr="00D31548">
        <w:trPr>
          <w:cantSplit/>
          <w:tblHeader/>
          <w:jc w:val="center"/>
        </w:trPr>
        <w:tc>
          <w:tcPr>
            <w:tcW w:w="2337" w:type="dxa"/>
            <w:shd w:val="clear" w:color="auto" w:fill="FFFFFF"/>
            <w:tcMar>
              <w:top w:w="30" w:type="dxa"/>
              <w:left w:w="30" w:type="dxa"/>
              <w:bottom w:w="30" w:type="dxa"/>
              <w:right w:w="30" w:type="dxa"/>
            </w:tcMar>
          </w:tcPr>
          <w:p w14:paraId="60038422" w14:textId="77777777" w:rsidR="00D31548" w:rsidRPr="00D31548" w:rsidRDefault="00D31548" w:rsidP="00D31548">
            <w:pPr>
              <w:autoSpaceDE w:val="0"/>
              <w:autoSpaceDN w:val="0"/>
              <w:adjustRightInd w:val="0"/>
              <w:rPr>
                <w:rFonts w:ascii="Garamond" w:hAnsi="Garamond" w:cstheme="majorBidi"/>
                <w:sz w:val="26"/>
                <w:szCs w:val="26"/>
              </w:rPr>
            </w:pPr>
          </w:p>
        </w:tc>
        <w:tc>
          <w:tcPr>
            <w:tcW w:w="4773" w:type="dxa"/>
            <w:gridSpan w:val="3"/>
            <w:shd w:val="clear" w:color="auto" w:fill="FFFFFF"/>
            <w:tcMar>
              <w:top w:w="30" w:type="dxa"/>
              <w:left w:w="30" w:type="dxa"/>
              <w:bottom w:w="30" w:type="dxa"/>
              <w:right w:w="30" w:type="dxa"/>
            </w:tcMar>
            <w:vAlign w:val="bottom"/>
          </w:tcPr>
          <w:p w14:paraId="01F0F3D5"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Kolmogorov-Smirnov</w:t>
            </w:r>
          </w:p>
        </w:tc>
      </w:tr>
      <w:tr w:rsidR="00D31548" w:rsidRPr="00D31548" w14:paraId="301B1D64" w14:textId="77777777" w:rsidTr="00D31548">
        <w:trPr>
          <w:cantSplit/>
          <w:tblHeader/>
          <w:jc w:val="center"/>
        </w:trPr>
        <w:tc>
          <w:tcPr>
            <w:tcW w:w="2337" w:type="dxa"/>
            <w:shd w:val="clear" w:color="auto" w:fill="FFFFFF"/>
            <w:tcMar>
              <w:top w:w="30" w:type="dxa"/>
              <w:left w:w="30" w:type="dxa"/>
              <w:bottom w:w="30" w:type="dxa"/>
              <w:right w:w="30" w:type="dxa"/>
            </w:tcMar>
          </w:tcPr>
          <w:p w14:paraId="4F89BE73" w14:textId="77777777" w:rsidR="00D31548" w:rsidRPr="00D31548" w:rsidRDefault="00D31548" w:rsidP="00D31548">
            <w:pPr>
              <w:autoSpaceDE w:val="0"/>
              <w:autoSpaceDN w:val="0"/>
              <w:adjustRightInd w:val="0"/>
              <w:rPr>
                <w:rFonts w:ascii="Garamond" w:hAnsi="Garamond" w:cstheme="majorBidi"/>
                <w:sz w:val="26"/>
                <w:szCs w:val="26"/>
              </w:rPr>
            </w:pPr>
          </w:p>
        </w:tc>
        <w:tc>
          <w:tcPr>
            <w:tcW w:w="1530" w:type="dxa"/>
            <w:shd w:val="clear" w:color="auto" w:fill="FFFFFF"/>
            <w:tcMar>
              <w:top w:w="30" w:type="dxa"/>
              <w:left w:w="30" w:type="dxa"/>
              <w:bottom w:w="30" w:type="dxa"/>
              <w:right w:w="30" w:type="dxa"/>
            </w:tcMar>
            <w:vAlign w:val="bottom"/>
          </w:tcPr>
          <w:p w14:paraId="725C1E76" w14:textId="77777777" w:rsidR="00D31548" w:rsidRPr="00D31548" w:rsidRDefault="00D31548" w:rsidP="00D31548">
            <w:pPr>
              <w:autoSpaceDE w:val="0"/>
              <w:autoSpaceDN w:val="0"/>
              <w:adjustRightInd w:val="0"/>
              <w:jc w:val="center"/>
              <w:rPr>
                <w:rFonts w:ascii="Garamond" w:hAnsi="Garamond" w:cstheme="majorBidi"/>
                <w:color w:val="000000"/>
                <w:sz w:val="26"/>
                <w:szCs w:val="26"/>
              </w:rPr>
            </w:pPr>
            <w:r w:rsidRPr="00D31548">
              <w:rPr>
                <w:rFonts w:ascii="Garamond" w:hAnsi="Garamond" w:cstheme="majorBidi"/>
                <w:color w:val="000000"/>
                <w:sz w:val="26"/>
                <w:szCs w:val="26"/>
              </w:rPr>
              <w:t>Statistic</w:t>
            </w:r>
          </w:p>
        </w:tc>
        <w:tc>
          <w:tcPr>
            <w:tcW w:w="1530" w:type="dxa"/>
            <w:shd w:val="clear" w:color="auto" w:fill="FFFFFF"/>
            <w:tcMar>
              <w:top w:w="30" w:type="dxa"/>
              <w:left w:w="30" w:type="dxa"/>
              <w:bottom w:w="30" w:type="dxa"/>
              <w:right w:w="30" w:type="dxa"/>
            </w:tcMar>
            <w:vAlign w:val="bottom"/>
          </w:tcPr>
          <w:p w14:paraId="53098928" w14:textId="77777777" w:rsidR="00D31548" w:rsidRPr="00D31548" w:rsidRDefault="00D31548" w:rsidP="00D31548">
            <w:pPr>
              <w:autoSpaceDE w:val="0"/>
              <w:autoSpaceDN w:val="0"/>
              <w:adjustRightInd w:val="0"/>
              <w:jc w:val="center"/>
              <w:rPr>
                <w:rFonts w:ascii="Garamond" w:hAnsi="Garamond" w:cstheme="majorBidi"/>
                <w:color w:val="000000"/>
                <w:sz w:val="26"/>
                <w:szCs w:val="26"/>
              </w:rPr>
            </w:pPr>
            <w:r w:rsidRPr="00D31548">
              <w:rPr>
                <w:rFonts w:ascii="Garamond" w:hAnsi="Garamond" w:cstheme="majorBidi"/>
                <w:color w:val="000000"/>
                <w:sz w:val="26"/>
                <w:szCs w:val="26"/>
              </w:rPr>
              <w:t>df</w:t>
            </w:r>
          </w:p>
        </w:tc>
        <w:tc>
          <w:tcPr>
            <w:tcW w:w="1713" w:type="dxa"/>
            <w:shd w:val="clear" w:color="auto" w:fill="FFFFFF"/>
            <w:tcMar>
              <w:top w:w="30" w:type="dxa"/>
              <w:left w:w="30" w:type="dxa"/>
              <w:bottom w:w="30" w:type="dxa"/>
              <w:right w:w="30" w:type="dxa"/>
            </w:tcMar>
            <w:vAlign w:val="bottom"/>
          </w:tcPr>
          <w:p w14:paraId="2FDF99C6" w14:textId="77777777" w:rsidR="00D31548" w:rsidRPr="00D31548" w:rsidRDefault="00D31548" w:rsidP="00D31548">
            <w:pPr>
              <w:autoSpaceDE w:val="0"/>
              <w:autoSpaceDN w:val="0"/>
              <w:adjustRightInd w:val="0"/>
              <w:jc w:val="center"/>
              <w:rPr>
                <w:rFonts w:ascii="Garamond" w:hAnsi="Garamond" w:cstheme="majorBidi"/>
                <w:color w:val="000000"/>
                <w:sz w:val="26"/>
                <w:szCs w:val="26"/>
              </w:rPr>
            </w:pPr>
            <w:r w:rsidRPr="00D31548">
              <w:rPr>
                <w:rFonts w:ascii="Garamond" w:hAnsi="Garamond" w:cstheme="majorBidi"/>
                <w:color w:val="000000"/>
                <w:sz w:val="26"/>
                <w:szCs w:val="26"/>
              </w:rPr>
              <w:t>Sig.</w:t>
            </w:r>
          </w:p>
        </w:tc>
      </w:tr>
      <w:tr w:rsidR="00D31548" w:rsidRPr="00D31548" w14:paraId="6AFD8F1B" w14:textId="77777777" w:rsidTr="00D31548">
        <w:trPr>
          <w:cantSplit/>
          <w:tblHeader/>
          <w:jc w:val="center"/>
        </w:trPr>
        <w:tc>
          <w:tcPr>
            <w:tcW w:w="2337" w:type="dxa"/>
            <w:shd w:val="clear" w:color="auto" w:fill="FFFFFF"/>
            <w:tcMar>
              <w:top w:w="30" w:type="dxa"/>
              <w:left w:w="30" w:type="dxa"/>
              <w:bottom w:w="30" w:type="dxa"/>
              <w:right w:w="30" w:type="dxa"/>
            </w:tcMar>
          </w:tcPr>
          <w:p w14:paraId="1B4364B7"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Unstandardized Residual</w:t>
            </w:r>
          </w:p>
        </w:tc>
        <w:tc>
          <w:tcPr>
            <w:tcW w:w="1530" w:type="dxa"/>
            <w:shd w:val="clear" w:color="auto" w:fill="FFFFFF"/>
            <w:tcMar>
              <w:top w:w="30" w:type="dxa"/>
              <w:left w:w="30" w:type="dxa"/>
              <w:bottom w:w="30" w:type="dxa"/>
              <w:right w:w="30" w:type="dxa"/>
            </w:tcMar>
            <w:vAlign w:val="center"/>
          </w:tcPr>
          <w:p w14:paraId="037B7CBA"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.078</w:t>
            </w:r>
          </w:p>
        </w:tc>
        <w:tc>
          <w:tcPr>
            <w:tcW w:w="1530" w:type="dxa"/>
            <w:shd w:val="clear" w:color="auto" w:fill="FFFFFF"/>
            <w:tcMar>
              <w:top w:w="30" w:type="dxa"/>
              <w:left w:w="30" w:type="dxa"/>
              <w:bottom w:w="30" w:type="dxa"/>
              <w:right w:w="30" w:type="dxa"/>
            </w:tcMar>
            <w:vAlign w:val="center"/>
          </w:tcPr>
          <w:p w14:paraId="336CA08C"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94</w:t>
            </w:r>
          </w:p>
        </w:tc>
        <w:tc>
          <w:tcPr>
            <w:tcW w:w="1713" w:type="dxa"/>
            <w:shd w:val="clear" w:color="auto" w:fill="FFFFFF"/>
            <w:tcMar>
              <w:top w:w="30" w:type="dxa"/>
              <w:left w:w="30" w:type="dxa"/>
              <w:bottom w:w="30" w:type="dxa"/>
              <w:right w:w="30" w:type="dxa"/>
            </w:tcMar>
            <w:vAlign w:val="center"/>
          </w:tcPr>
          <w:p w14:paraId="6957DE71"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.196</w:t>
            </w:r>
            <w:r w:rsidRPr="00D31548">
              <w:rPr>
                <w:rFonts w:ascii="Garamond" w:hAnsi="Garamond" w:cstheme="majorBidi"/>
                <w:color w:val="000000"/>
                <w:sz w:val="26"/>
                <w:szCs w:val="26"/>
                <w:vertAlign w:val="superscript"/>
              </w:rPr>
              <w:t>*</w:t>
            </w:r>
          </w:p>
        </w:tc>
      </w:tr>
    </w:tbl>
    <w:p w14:paraId="5C10CEE0" w14:textId="16A5F8B4" w:rsidR="00D31548" w:rsidRPr="00D31548" w:rsidRDefault="00D31548" w:rsidP="00F36D3A">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41835382" w14:textId="4E210628" w:rsidR="00D31548" w:rsidRPr="00F36D3A"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The normality test results above indicate that a significant value of 0.196 is greater than 0.05. It can be concluded that the data in the regression model in this study are normally distributed.</w:t>
      </w:r>
    </w:p>
    <w:p w14:paraId="66276FDA" w14:textId="77777777" w:rsidR="00D31548" w:rsidRPr="00D31548" w:rsidRDefault="00D31548" w:rsidP="00D31548">
      <w:pPr>
        <w:spacing w:line="276" w:lineRule="auto"/>
        <w:jc w:val="both"/>
        <w:rPr>
          <w:rFonts w:ascii="Garamond" w:hAnsi="Garamond" w:cstheme="majorBidi"/>
          <w:b/>
          <w:bCs/>
          <w:color w:val="000000"/>
          <w:sz w:val="26"/>
          <w:szCs w:val="26"/>
        </w:rPr>
      </w:pPr>
      <w:proofErr w:type="spellStart"/>
      <w:r w:rsidRPr="00D31548">
        <w:rPr>
          <w:rFonts w:ascii="Garamond" w:hAnsi="Garamond" w:cstheme="majorBidi"/>
          <w:b/>
          <w:bCs/>
          <w:color w:val="000000"/>
          <w:sz w:val="26"/>
          <w:szCs w:val="26"/>
        </w:rPr>
        <w:t>Multikolinearity</w:t>
      </w:r>
      <w:proofErr w:type="spellEnd"/>
      <w:r w:rsidRPr="00D31548">
        <w:rPr>
          <w:rFonts w:ascii="Garamond" w:hAnsi="Garamond" w:cstheme="majorBidi"/>
          <w:b/>
          <w:bCs/>
          <w:color w:val="000000"/>
          <w:sz w:val="26"/>
          <w:szCs w:val="26"/>
        </w:rPr>
        <w:t xml:space="preserve"> Test</w:t>
      </w:r>
    </w:p>
    <w:p w14:paraId="11FADEEE"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A multicollinearity test was performed to determine the correlation between independent variables. Based on the table below it can be concluded that all VIF values are less than 10 and tolerance values greater than 0.1. </w:t>
      </w:r>
      <w:proofErr w:type="gramStart"/>
      <w:r w:rsidRPr="00D31548">
        <w:rPr>
          <w:rFonts w:ascii="Garamond" w:hAnsi="Garamond" w:cstheme="majorBidi"/>
          <w:sz w:val="26"/>
          <w:szCs w:val="26"/>
        </w:rPr>
        <w:t>So</w:t>
      </w:r>
      <w:proofErr w:type="gramEnd"/>
      <w:r w:rsidRPr="00D31548">
        <w:rPr>
          <w:rFonts w:ascii="Garamond" w:hAnsi="Garamond" w:cstheme="majorBidi"/>
          <w:sz w:val="26"/>
          <w:szCs w:val="26"/>
        </w:rPr>
        <w:t xml:space="preserve"> it can be concluded that there was no </w:t>
      </w:r>
      <w:proofErr w:type="spellStart"/>
      <w:r w:rsidRPr="00D31548">
        <w:rPr>
          <w:rFonts w:ascii="Garamond" w:hAnsi="Garamond" w:cstheme="majorBidi"/>
          <w:sz w:val="26"/>
          <w:szCs w:val="26"/>
        </w:rPr>
        <w:t>multicollinarity</w:t>
      </w:r>
      <w:proofErr w:type="spellEnd"/>
      <w:r w:rsidRPr="00D31548">
        <w:rPr>
          <w:rFonts w:ascii="Garamond" w:hAnsi="Garamond" w:cstheme="majorBidi"/>
          <w:sz w:val="26"/>
          <w:szCs w:val="26"/>
        </w:rPr>
        <w:t xml:space="preserve"> in this study.</w:t>
      </w:r>
    </w:p>
    <w:p w14:paraId="6047170B" w14:textId="77777777" w:rsidR="00D31548" w:rsidRPr="00D31548" w:rsidRDefault="00D31548" w:rsidP="00D31548">
      <w:pPr>
        <w:pStyle w:val="ListParagraph"/>
        <w:spacing w:after="0"/>
        <w:ind w:left="0"/>
        <w:jc w:val="center"/>
        <w:rPr>
          <w:rFonts w:ascii="Garamond" w:hAnsi="Garamond" w:cstheme="majorBidi"/>
          <w:sz w:val="26"/>
          <w:szCs w:val="26"/>
        </w:rPr>
      </w:pPr>
      <w:r w:rsidRPr="00D31548">
        <w:rPr>
          <w:rFonts w:ascii="Garamond" w:hAnsi="Garamond" w:cstheme="majorBidi"/>
          <w:sz w:val="26"/>
          <w:szCs w:val="26"/>
        </w:rPr>
        <w:t>Table 8</w:t>
      </w:r>
    </w:p>
    <w:p w14:paraId="224BDEE2" w14:textId="77777777" w:rsidR="00D31548" w:rsidRPr="00D31548" w:rsidRDefault="00D31548" w:rsidP="00D31548">
      <w:pPr>
        <w:spacing w:line="276" w:lineRule="auto"/>
        <w:jc w:val="center"/>
        <w:rPr>
          <w:rFonts w:ascii="Garamond" w:hAnsi="Garamond" w:cstheme="majorBidi"/>
          <w:sz w:val="26"/>
          <w:szCs w:val="26"/>
        </w:rPr>
      </w:pPr>
      <w:r w:rsidRPr="00D31548">
        <w:rPr>
          <w:rFonts w:ascii="Garamond" w:hAnsi="Garamond" w:cstheme="majorBidi"/>
          <w:sz w:val="26"/>
          <w:szCs w:val="26"/>
        </w:rPr>
        <w:t>Multicollinearity Test Results</w:t>
      </w:r>
    </w:p>
    <w:tbl>
      <w:tblPr>
        <w:tblW w:w="70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270"/>
        <w:gridCol w:w="3280"/>
        <w:gridCol w:w="1670"/>
        <w:gridCol w:w="1800"/>
      </w:tblGrid>
      <w:tr w:rsidR="00D31548" w:rsidRPr="00D31548" w14:paraId="5D1A9CBA" w14:textId="77777777" w:rsidTr="00D31548">
        <w:trPr>
          <w:cantSplit/>
          <w:tblHeader/>
          <w:jc w:val="center"/>
        </w:trPr>
        <w:tc>
          <w:tcPr>
            <w:tcW w:w="3550" w:type="dxa"/>
            <w:gridSpan w:val="2"/>
            <w:vMerge w:val="restart"/>
            <w:shd w:val="clear" w:color="auto" w:fill="FFFFFF"/>
            <w:tcMar>
              <w:top w:w="30" w:type="dxa"/>
              <w:left w:w="30" w:type="dxa"/>
              <w:bottom w:w="30" w:type="dxa"/>
              <w:right w:w="30" w:type="dxa"/>
            </w:tcMar>
            <w:vAlign w:val="bottom"/>
          </w:tcPr>
          <w:p w14:paraId="53B24E6E" w14:textId="77777777" w:rsidR="00D31548" w:rsidRPr="00D31548" w:rsidRDefault="00D31548" w:rsidP="00D31548">
            <w:pPr>
              <w:autoSpaceDE w:val="0"/>
              <w:autoSpaceDN w:val="0"/>
              <w:adjustRightInd w:val="0"/>
              <w:rPr>
                <w:rFonts w:ascii="Garamond" w:hAnsi="Garamond" w:cstheme="majorBidi"/>
                <w:b/>
                <w:bCs/>
                <w:color w:val="000000"/>
                <w:sz w:val="26"/>
                <w:szCs w:val="26"/>
              </w:rPr>
            </w:pPr>
            <w:r w:rsidRPr="00D31548">
              <w:rPr>
                <w:rFonts w:ascii="Garamond" w:hAnsi="Garamond" w:cstheme="majorBidi"/>
                <w:b/>
                <w:bCs/>
                <w:color w:val="000000"/>
                <w:sz w:val="26"/>
                <w:szCs w:val="26"/>
              </w:rPr>
              <w:t>Model</w:t>
            </w:r>
          </w:p>
        </w:tc>
        <w:tc>
          <w:tcPr>
            <w:tcW w:w="3470" w:type="dxa"/>
            <w:gridSpan w:val="2"/>
            <w:shd w:val="clear" w:color="auto" w:fill="FFFFFF"/>
            <w:tcMar>
              <w:top w:w="30" w:type="dxa"/>
              <w:left w:w="30" w:type="dxa"/>
              <w:bottom w:w="30" w:type="dxa"/>
              <w:right w:w="30" w:type="dxa"/>
            </w:tcMar>
            <w:vAlign w:val="bottom"/>
          </w:tcPr>
          <w:p w14:paraId="7A77B2FD"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Collinearity Statistics</w:t>
            </w:r>
          </w:p>
        </w:tc>
      </w:tr>
      <w:tr w:rsidR="00D31548" w:rsidRPr="00D31548" w14:paraId="1F984537" w14:textId="77777777" w:rsidTr="00D31548">
        <w:trPr>
          <w:cantSplit/>
          <w:tblHeader/>
          <w:jc w:val="center"/>
        </w:trPr>
        <w:tc>
          <w:tcPr>
            <w:tcW w:w="3550" w:type="dxa"/>
            <w:gridSpan w:val="2"/>
            <w:vMerge/>
            <w:shd w:val="clear" w:color="auto" w:fill="FFFFFF"/>
            <w:tcMar>
              <w:top w:w="30" w:type="dxa"/>
              <w:left w:w="30" w:type="dxa"/>
              <w:bottom w:w="30" w:type="dxa"/>
              <w:right w:w="30" w:type="dxa"/>
            </w:tcMar>
            <w:vAlign w:val="bottom"/>
          </w:tcPr>
          <w:p w14:paraId="60FB7F7C" w14:textId="77777777" w:rsidR="00D31548" w:rsidRPr="00D31548" w:rsidRDefault="00D31548" w:rsidP="00D31548">
            <w:pPr>
              <w:autoSpaceDE w:val="0"/>
              <w:autoSpaceDN w:val="0"/>
              <w:adjustRightInd w:val="0"/>
              <w:rPr>
                <w:rFonts w:ascii="Garamond" w:hAnsi="Garamond" w:cstheme="majorBidi"/>
                <w:b/>
                <w:bCs/>
                <w:color w:val="000000"/>
                <w:sz w:val="26"/>
                <w:szCs w:val="26"/>
              </w:rPr>
            </w:pPr>
          </w:p>
        </w:tc>
        <w:tc>
          <w:tcPr>
            <w:tcW w:w="1670" w:type="dxa"/>
            <w:shd w:val="clear" w:color="auto" w:fill="FFFFFF"/>
            <w:tcMar>
              <w:top w:w="30" w:type="dxa"/>
              <w:left w:w="30" w:type="dxa"/>
              <w:bottom w:w="30" w:type="dxa"/>
              <w:right w:w="30" w:type="dxa"/>
            </w:tcMar>
            <w:vAlign w:val="bottom"/>
          </w:tcPr>
          <w:p w14:paraId="2B5691D0"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Tolerance</w:t>
            </w:r>
          </w:p>
        </w:tc>
        <w:tc>
          <w:tcPr>
            <w:tcW w:w="1800" w:type="dxa"/>
            <w:shd w:val="clear" w:color="auto" w:fill="FFFFFF"/>
            <w:tcMar>
              <w:top w:w="30" w:type="dxa"/>
              <w:left w:w="30" w:type="dxa"/>
              <w:bottom w:w="30" w:type="dxa"/>
              <w:right w:w="30" w:type="dxa"/>
            </w:tcMar>
            <w:vAlign w:val="bottom"/>
          </w:tcPr>
          <w:p w14:paraId="3324A344" w14:textId="77777777" w:rsidR="00D31548" w:rsidRPr="00D31548" w:rsidRDefault="00D31548" w:rsidP="00D31548">
            <w:pPr>
              <w:autoSpaceDE w:val="0"/>
              <w:autoSpaceDN w:val="0"/>
              <w:adjustRightInd w:val="0"/>
              <w:jc w:val="center"/>
              <w:rPr>
                <w:rFonts w:ascii="Garamond" w:hAnsi="Garamond" w:cstheme="majorBidi"/>
                <w:b/>
                <w:bCs/>
                <w:color w:val="000000"/>
                <w:sz w:val="26"/>
                <w:szCs w:val="26"/>
              </w:rPr>
            </w:pPr>
            <w:r w:rsidRPr="00D31548">
              <w:rPr>
                <w:rFonts w:ascii="Garamond" w:hAnsi="Garamond" w:cstheme="majorBidi"/>
                <w:b/>
                <w:bCs/>
                <w:color w:val="000000"/>
                <w:sz w:val="26"/>
                <w:szCs w:val="26"/>
              </w:rPr>
              <w:t>VIF</w:t>
            </w:r>
          </w:p>
        </w:tc>
      </w:tr>
      <w:tr w:rsidR="00D31548" w:rsidRPr="00D31548" w14:paraId="207F851B" w14:textId="77777777" w:rsidTr="00D31548">
        <w:trPr>
          <w:cantSplit/>
          <w:tblHeader/>
          <w:jc w:val="center"/>
        </w:trPr>
        <w:tc>
          <w:tcPr>
            <w:tcW w:w="270" w:type="dxa"/>
            <w:vMerge w:val="restart"/>
            <w:shd w:val="clear" w:color="auto" w:fill="FFFFFF"/>
            <w:tcMar>
              <w:top w:w="30" w:type="dxa"/>
              <w:left w:w="30" w:type="dxa"/>
              <w:bottom w:w="30" w:type="dxa"/>
              <w:right w:w="30" w:type="dxa"/>
            </w:tcMar>
          </w:tcPr>
          <w:p w14:paraId="2FA41CD5"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1</w:t>
            </w:r>
          </w:p>
        </w:tc>
        <w:tc>
          <w:tcPr>
            <w:tcW w:w="3280" w:type="dxa"/>
            <w:shd w:val="clear" w:color="auto" w:fill="FFFFFF"/>
            <w:tcMar>
              <w:top w:w="30" w:type="dxa"/>
              <w:left w:w="30" w:type="dxa"/>
              <w:bottom w:w="30" w:type="dxa"/>
              <w:right w:w="30" w:type="dxa"/>
            </w:tcMar>
          </w:tcPr>
          <w:p w14:paraId="45F2E6A7"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(Constant)</w:t>
            </w:r>
          </w:p>
        </w:tc>
        <w:tc>
          <w:tcPr>
            <w:tcW w:w="1670" w:type="dxa"/>
            <w:shd w:val="clear" w:color="auto" w:fill="FFFFFF"/>
            <w:tcMar>
              <w:top w:w="30" w:type="dxa"/>
              <w:left w:w="30" w:type="dxa"/>
              <w:bottom w:w="30" w:type="dxa"/>
              <w:right w:w="30" w:type="dxa"/>
            </w:tcMar>
          </w:tcPr>
          <w:p w14:paraId="12877541" w14:textId="77777777" w:rsidR="00D31548" w:rsidRPr="00D31548" w:rsidRDefault="00D31548" w:rsidP="00D31548">
            <w:pPr>
              <w:autoSpaceDE w:val="0"/>
              <w:autoSpaceDN w:val="0"/>
              <w:adjustRightInd w:val="0"/>
              <w:rPr>
                <w:rFonts w:ascii="Garamond" w:hAnsi="Garamond" w:cstheme="majorBidi"/>
                <w:sz w:val="26"/>
                <w:szCs w:val="26"/>
              </w:rPr>
            </w:pPr>
          </w:p>
        </w:tc>
        <w:tc>
          <w:tcPr>
            <w:tcW w:w="1800" w:type="dxa"/>
            <w:shd w:val="clear" w:color="auto" w:fill="FFFFFF"/>
            <w:tcMar>
              <w:top w:w="30" w:type="dxa"/>
              <w:left w:w="30" w:type="dxa"/>
              <w:bottom w:w="30" w:type="dxa"/>
              <w:right w:w="30" w:type="dxa"/>
            </w:tcMar>
          </w:tcPr>
          <w:p w14:paraId="71A9F742" w14:textId="77777777" w:rsidR="00D31548" w:rsidRPr="00D31548" w:rsidRDefault="00D31548" w:rsidP="00D31548">
            <w:pPr>
              <w:autoSpaceDE w:val="0"/>
              <w:autoSpaceDN w:val="0"/>
              <w:adjustRightInd w:val="0"/>
              <w:rPr>
                <w:rFonts w:ascii="Garamond" w:hAnsi="Garamond" w:cstheme="majorBidi"/>
                <w:sz w:val="26"/>
                <w:szCs w:val="26"/>
              </w:rPr>
            </w:pPr>
          </w:p>
        </w:tc>
      </w:tr>
      <w:tr w:rsidR="00D31548" w:rsidRPr="00D31548" w14:paraId="2749FE85" w14:textId="77777777" w:rsidTr="00D31548">
        <w:trPr>
          <w:cantSplit/>
          <w:tblHeader/>
          <w:jc w:val="center"/>
        </w:trPr>
        <w:tc>
          <w:tcPr>
            <w:tcW w:w="270" w:type="dxa"/>
            <w:vMerge/>
            <w:shd w:val="clear" w:color="auto" w:fill="FFFFFF"/>
            <w:tcMar>
              <w:top w:w="30" w:type="dxa"/>
              <w:left w:w="30" w:type="dxa"/>
              <w:bottom w:w="30" w:type="dxa"/>
              <w:right w:w="30" w:type="dxa"/>
            </w:tcMar>
          </w:tcPr>
          <w:p w14:paraId="57222676" w14:textId="77777777" w:rsidR="00D31548" w:rsidRPr="00D31548" w:rsidRDefault="00D31548" w:rsidP="00D31548">
            <w:pPr>
              <w:autoSpaceDE w:val="0"/>
              <w:autoSpaceDN w:val="0"/>
              <w:adjustRightInd w:val="0"/>
              <w:rPr>
                <w:rFonts w:ascii="Garamond" w:hAnsi="Garamond" w:cstheme="majorBidi"/>
                <w:sz w:val="26"/>
                <w:szCs w:val="26"/>
              </w:rPr>
            </w:pPr>
          </w:p>
        </w:tc>
        <w:tc>
          <w:tcPr>
            <w:tcW w:w="3280" w:type="dxa"/>
            <w:shd w:val="clear" w:color="auto" w:fill="FFFFFF"/>
            <w:tcMar>
              <w:top w:w="30" w:type="dxa"/>
              <w:left w:w="30" w:type="dxa"/>
              <w:bottom w:w="30" w:type="dxa"/>
              <w:right w:w="30" w:type="dxa"/>
            </w:tcMar>
          </w:tcPr>
          <w:p w14:paraId="542A6BE9"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Gender</w:t>
            </w:r>
          </w:p>
        </w:tc>
        <w:tc>
          <w:tcPr>
            <w:tcW w:w="1670" w:type="dxa"/>
            <w:shd w:val="clear" w:color="auto" w:fill="FFFFFF"/>
            <w:tcMar>
              <w:top w:w="30" w:type="dxa"/>
              <w:left w:w="30" w:type="dxa"/>
              <w:bottom w:w="30" w:type="dxa"/>
              <w:right w:w="30" w:type="dxa"/>
            </w:tcMar>
            <w:vAlign w:val="center"/>
          </w:tcPr>
          <w:p w14:paraId="7A7AAAD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.824</w:t>
            </w:r>
          </w:p>
        </w:tc>
        <w:tc>
          <w:tcPr>
            <w:tcW w:w="1800" w:type="dxa"/>
            <w:shd w:val="clear" w:color="auto" w:fill="FFFFFF"/>
            <w:tcMar>
              <w:top w:w="30" w:type="dxa"/>
              <w:left w:w="30" w:type="dxa"/>
              <w:bottom w:w="30" w:type="dxa"/>
              <w:right w:w="30" w:type="dxa"/>
            </w:tcMar>
            <w:vAlign w:val="center"/>
          </w:tcPr>
          <w:p w14:paraId="4EF8510B"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1.214</w:t>
            </w:r>
          </w:p>
        </w:tc>
      </w:tr>
      <w:tr w:rsidR="00D31548" w:rsidRPr="00D31548" w14:paraId="14730D0B" w14:textId="77777777" w:rsidTr="00D31548">
        <w:trPr>
          <w:cantSplit/>
          <w:tblHeader/>
          <w:jc w:val="center"/>
        </w:trPr>
        <w:tc>
          <w:tcPr>
            <w:tcW w:w="270" w:type="dxa"/>
            <w:vMerge/>
            <w:shd w:val="clear" w:color="auto" w:fill="FFFFFF"/>
            <w:tcMar>
              <w:top w:w="30" w:type="dxa"/>
              <w:left w:w="30" w:type="dxa"/>
              <w:bottom w:w="30" w:type="dxa"/>
              <w:right w:w="30" w:type="dxa"/>
            </w:tcMar>
          </w:tcPr>
          <w:p w14:paraId="5CB600E4"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3280" w:type="dxa"/>
            <w:shd w:val="clear" w:color="auto" w:fill="FFFFFF"/>
            <w:tcMar>
              <w:top w:w="30" w:type="dxa"/>
              <w:left w:w="30" w:type="dxa"/>
              <w:bottom w:w="30" w:type="dxa"/>
              <w:right w:w="30" w:type="dxa"/>
            </w:tcMar>
          </w:tcPr>
          <w:p w14:paraId="4D4D1D18"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Marital status</w:t>
            </w:r>
          </w:p>
        </w:tc>
        <w:tc>
          <w:tcPr>
            <w:tcW w:w="1670" w:type="dxa"/>
            <w:shd w:val="clear" w:color="auto" w:fill="FFFFFF"/>
            <w:tcMar>
              <w:top w:w="30" w:type="dxa"/>
              <w:left w:w="30" w:type="dxa"/>
              <w:bottom w:w="30" w:type="dxa"/>
              <w:right w:w="30" w:type="dxa"/>
            </w:tcMar>
            <w:vAlign w:val="center"/>
          </w:tcPr>
          <w:p w14:paraId="2261FBA3"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.936</w:t>
            </w:r>
          </w:p>
        </w:tc>
        <w:tc>
          <w:tcPr>
            <w:tcW w:w="1800" w:type="dxa"/>
            <w:shd w:val="clear" w:color="auto" w:fill="FFFFFF"/>
            <w:tcMar>
              <w:top w:w="30" w:type="dxa"/>
              <w:left w:w="30" w:type="dxa"/>
              <w:bottom w:w="30" w:type="dxa"/>
              <w:right w:w="30" w:type="dxa"/>
            </w:tcMar>
            <w:vAlign w:val="center"/>
          </w:tcPr>
          <w:p w14:paraId="23FF4E7E"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1.081</w:t>
            </w:r>
          </w:p>
        </w:tc>
      </w:tr>
      <w:tr w:rsidR="00D31548" w:rsidRPr="00D31548" w14:paraId="622A9E0F" w14:textId="77777777" w:rsidTr="00D31548">
        <w:trPr>
          <w:cantSplit/>
          <w:tblHeader/>
          <w:jc w:val="center"/>
        </w:trPr>
        <w:tc>
          <w:tcPr>
            <w:tcW w:w="270" w:type="dxa"/>
            <w:vMerge/>
            <w:shd w:val="clear" w:color="auto" w:fill="FFFFFF"/>
            <w:tcMar>
              <w:top w:w="30" w:type="dxa"/>
              <w:left w:w="30" w:type="dxa"/>
              <w:bottom w:w="30" w:type="dxa"/>
              <w:right w:w="30" w:type="dxa"/>
            </w:tcMar>
          </w:tcPr>
          <w:p w14:paraId="1CC82D99" w14:textId="77777777" w:rsidR="00D31548" w:rsidRPr="00D31548" w:rsidRDefault="00D31548" w:rsidP="00D31548">
            <w:pPr>
              <w:autoSpaceDE w:val="0"/>
              <w:autoSpaceDN w:val="0"/>
              <w:adjustRightInd w:val="0"/>
              <w:rPr>
                <w:rFonts w:ascii="Garamond" w:hAnsi="Garamond" w:cstheme="majorBidi"/>
                <w:color w:val="000000"/>
                <w:sz w:val="26"/>
                <w:szCs w:val="26"/>
              </w:rPr>
            </w:pPr>
          </w:p>
        </w:tc>
        <w:tc>
          <w:tcPr>
            <w:tcW w:w="3280" w:type="dxa"/>
            <w:shd w:val="clear" w:color="auto" w:fill="FFFFFF"/>
            <w:tcMar>
              <w:top w:w="30" w:type="dxa"/>
              <w:left w:w="30" w:type="dxa"/>
              <w:bottom w:w="30" w:type="dxa"/>
              <w:right w:w="30" w:type="dxa"/>
            </w:tcMar>
          </w:tcPr>
          <w:p w14:paraId="468A0ED0" w14:textId="77777777" w:rsidR="00D31548" w:rsidRPr="00D31548" w:rsidRDefault="00D31548" w:rsidP="00D31548">
            <w:pPr>
              <w:autoSpaceDE w:val="0"/>
              <w:autoSpaceDN w:val="0"/>
              <w:adjustRightInd w:val="0"/>
              <w:rPr>
                <w:rFonts w:ascii="Garamond" w:hAnsi="Garamond" w:cstheme="majorBidi"/>
                <w:color w:val="000000"/>
                <w:sz w:val="26"/>
                <w:szCs w:val="26"/>
              </w:rPr>
            </w:pPr>
            <w:r w:rsidRPr="00D31548">
              <w:rPr>
                <w:rFonts w:ascii="Garamond" w:hAnsi="Garamond" w:cstheme="majorBidi"/>
                <w:color w:val="000000"/>
                <w:sz w:val="26"/>
                <w:szCs w:val="26"/>
              </w:rPr>
              <w:t xml:space="preserve">Income </w:t>
            </w:r>
            <w:proofErr w:type="spellStart"/>
            <w:r w:rsidRPr="00D31548">
              <w:rPr>
                <w:rFonts w:ascii="Garamond" w:hAnsi="Garamond" w:cstheme="majorBidi"/>
                <w:color w:val="000000"/>
                <w:sz w:val="26"/>
                <w:szCs w:val="26"/>
              </w:rPr>
              <w:t>permonth</w:t>
            </w:r>
            <w:proofErr w:type="spellEnd"/>
          </w:p>
        </w:tc>
        <w:tc>
          <w:tcPr>
            <w:tcW w:w="1670" w:type="dxa"/>
            <w:shd w:val="clear" w:color="auto" w:fill="FFFFFF"/>
            <w:tcMar>
              <w:top w:w="30" w:type="dxa"/>
              <w:left w:w="30" w:type="dxa"/>
              <w:bottom w:w="30" w:type="dxa"/>
              <w:right w:w="30" w:type="dxa"/>
            </w:tcMar>
            <w:vAlign w:val="center"/>
          </w:tcPr>
          <w:p w14:paraId="39671F4C"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.812</w:t>
            </w:r>
          </w:p>
        </w:tc>
        <w:tc>
          <w:tcPr>
            <w:tcW w:w="1800" w:type="dxa"/>
            <w:shd w:val="clear" w:color="auto" w:fill="FFFFFF"/>
            <w:tcMar>
              <w:top w:w="30" w:type="dxa"/>
              <w:left w:w="30" w:type="dxa"/>
              <w:bottom w:w="30" w:type="dxa"/>
              <w:right w:w="30" w:type="dxa"/>
            </w:tcMar>
            <w:vAlign w:val="center"/>
          </w:tcPr>
          <w:p w14:paraId="4428895D" w14:textId="77777777" w:rsidR="00D31548" w:rsidRPr="00D31548" w:rsidRDefault="00D31548" w:rsidP="00D31548">
            <w:pPr>
              <w:autoSpaceDE w:val="0"/>
              <w:autoSpaceDN w:val="0"/>
              <w:adjustRightInd w:val="0"/>
              <w:jc w:val="right"/>
              <w:rPr>
                <w:rFonts w:ascii="Garamond" w:hAnsi="Garamond" w:cstheme="majorBidi"/>
                <w:color w:val="000000"/>
                <w:sz w:val="26"/>
                <w:szCs w:val="26"/>
              </w:rPr>
            </w:pPr>
            <w:r w:rsidRPr="00D31548">
              <w:rPr>
                <w:rFonts w:ascii="Garamond" w:hAnsi="Garamond" w:cstheme="majorBidi"/>
                <w:color w:val="000000"/>
                <w:sz w:val="26"/>
                <w:szCs w:val="26"/>
              </w:rPr>
              <w:t>1.219</w:t>
            </w:r>
          </w:p>
        </w:tc>
      </w:tr>
    </w:tbl>
    <w:p w14:paraId="17FE8729" w14:textId="77777777" w:rsidR="00D31548" w:rsidRPr="00D31548" w:rsidRDefault="00D31548" w:rsidP="00D31548">
      <w:pPr>
        <w:spacing w:line="276" w:lineRule="auto"/>
        <w:rPr>
          <w:rFonts w:ascii="Garamond" w:hAnsi="Garamond" w:cstheme="majorBidi"/>
          <w:sz w:val="26"/>
          <w:szCs w:val="26"/>
        </w:rPr>
      </w:pPr>
      <w:r w:rsidRPr="00D31548">
        <w:rPr>
          <w:rFonts w:ascii="Garamond" w:hAnsi="Garamond" w:cstheme="majorBidi"/>
          <w:sz w:val="26"/>
          <w:szCs w:val="26"/>
        </w:rPr>
        <w:t>Source: Developed for the research</w:t>
      </w:r>
    </w:p>
    <w:p w14:paraId="1A93DDFA" w14:textId="77777777" w:rsidR="00D31548" w:rsidRPr="00D31548" w:rsidRDefault="00D31548" w:rsidP="00D31548">
      <w:pPr>
        <w:spacing w:line="276" w:lineRule="auto"/>
        <w:rPr>
          <w:rFonts w:ascii="Garamond" w:hAnsi="Garamond" w:cstheme="majorBidi"/>
          <w:b/>
          <w:sz w:val="26"/>
          <w:szCs w:val="26"/>
        </w:rPr>
      </w:pPr>
      <w:r w:rsidRPr="00D31548">
        <w:rPr>
          <w:rFonts w:ascii="Garamond" w:hAnsi="Garamond" w:cstheme="majorBidi"/>
          <w:b/>
          <w:sz w:val="26"/>
          <w:szCs w:val="26"/>
        </w:rPr>
        <w:t>Index Percent Formula</w:t>
      </w:r>
    </w:p>
    <w:p w14:paraId="35B78E7F" w14:textId="77777777" w:rsidR="00D31548" w:rsidRPr="00D31548" w:rsidRDefault="00D31548" w:rsidP="00D31548">
      <w:pPr>
        <w:spacing w:line="276" w:lineRule="auto"/>
        <w:ind w:firstLine="709"/>
        <w:jc w:val="both"/>
        <w:rPr>
          <w:rFonts w:ascii="Garamond" w:hAnsi="Garamond" w:cstheme="majorBidi"/>
          <w:sz w:val="26"/>
          <w:szCs w:val="26"/>
        </w:rPr>
      </w:pPr>
      <w:r w:rsidRPr="00D31548">
        <w:rPr>
          <w:rFonts w:ascii="Garamond" w:hAnsi="Garamond" w:cstheme="majorBidi"/>
          <w:sz w:val="26"/>
          <w:szCs w:val="26"/>
        </w:rPr>
        <w:t>From the questionnaire data, the total recapitulation results of respondents are:</w:t>
      </w:r>
    </w:p>
    <w:p w14:paraId="5DE26D56" w14:textId="77777777" w:rsidR="00D31548" w:rsidRPr="00D31548" w:rsidRDefault="00D31548" w:rsidP="00D31548">
      <w:pPr>
        <w:spacing w:line="276" w:lineRule="auto"/>
        <w:ind w:left="284" w:hanging="284"/>
        <w:jc w:val="both"/>
        <w:rPr>
          <w:rFonts w:ascii="Garamond" w:hAnsi="Garamond" w:cstheme="majorBidi"/>
          <w:sz w:val="26"/>
          <w:szCs w:val="26"/>
        </w:rPr>
      </w:pPr>
      <w:r w:rsidRPr="00D31548">
        <w:rPr>
          <w:rFonts w:ascii="Garamond" w:hAnsi="Garamond" w:cstheme="majorBidi"/>
          <w:sz w:val="26"/>
          <w:szCs w:val="26"/>
        </w:rPr>
        <w:t>1. Respondents who answered strongly agree (5) = 49 x 5 = 245</w:t>
      </w:r>
    </w:p>
    <w:p w14:paraId="528955DB" w14:textId="77777777" w:rsidR="00D31548" w:rsidRPr="00D31548" w:rsidRDefault="00D31548" w:rsidP="00D31548">
      <w:pPr>
        <w:spacing w:line="276" w:lineRule="auto"/>
        <w:ind w:left="284" w:hanging="284"/>
        <w:jc w:val="both"/>
        <w:rPr>
          <w:rFonts w:ascii="Garamond" w:hAnsi="Garamond" w:cstheme="majorBidi"/>
          <w:sz w:val="26"/>
          <w:szCs w:val="26"/>
        </w:rPr>
      </w:pPr>
      <w:r w:rsidRPr="00D31548">
        <w:rPr>
          <w:rFonts w:ascii="Garamond" w:hAnsi="Garamond" w:cstheme="majorBidi"/>
          <w:sz w:val="26"/>
          <w:szCs w:val="26"/>
        </w:rPr>
        <w:t>2. Respondents who answered agreed (4) = 279 x 4 = 1116</w:t>
      </w:r>
    </w:p>
    <w:p w14:paraId="79AF95AF" w14:textId="77777777" w:rsidR="00D31548" w:rsidRPr="00D31548" w:rsidRDefault="00D31548" w:rsidP="00D31548">
      <w:pPr>
        <w:spacing w:line="276" w:lineRule="auto"/>
        <w:ind w:left="284" w:hanging="284"/>
        <w:jc w:val="both"/>
        <w:rPr>
          <w:rFonts w:ascii="Garamond" w:hAnsi="Garamond" w:cstheme="majorBidi"/>
          <w:sz w:val="26"/>
          <w:szCs w:val="26"/>
        </w:rPr>
      </w:pPr>
      <w:r w:rsidRPr="00D31548">
        <w:rPr>
          <w:rFonts w:ascii="Garamond" w:hAnsi="Garamond" w:cstheme="majorBidi"/>
          <w:sz w:val="26"/>
          <w:szCs w:val="26"/>
        </w:rPr>
        <w:t>3. Respondents who answered neutral (3) = 2695 x 3 = 8085</w:t>
      </w:r>
    </w:p>
    <w:p w14:paraId="600E66B0" w14:textId="77777777" w:rsidR="00D31548" w:rsidRPr="00D31548" w:rsidRDefault="00D31548" w:rsidP="00D31548">
      <w:pPr>
        <w:spacing w:line="276" w:lineRule="auto"/>
        <w:ind w:left="284" w:hanging="284"/>
        <w:jc w:val="both"/>
        <w:rPr>
          <w:rFonts w:ascii="Garamond" w:hAnsi="Garamond" w:cstheme="majorBidi"/>
          <w:sz w:val="26"/>
          <w:szCs w:val="26"/>
        </w:rPr>
      </w:pPr>
      <w:r w:rsidRPr="00D31548">
        <w:rPr>
          <w:rFonts w:ascii="Garamond" w:hAnsi="Garamond" w:cstheme="majorBidi"/>
          <w:sz w:val="26"/>
          <w:szCs w:val="26"/>
        </w:rPr>
        <w:t>4. Respondents who answered disagree (2) = 1396 x 2 = 2792</w:t>
      </w:r>
    </w:p>
    <w:p w14:paraId="2386618E" w14:textId="77777777" w:rsidR="00D31548" w:rsidRPr="00D31548" w:rsidRDefault="00D31548" w:rsidP="00D31548">
      <w:pPr>
        <w:spacing w:line="276" w:lineRule="auto"/>
        <w:ind w:left="284" w:hanging="284"/>
        <w:jc w:val="both"/>
        <w:rPr>
          <w:rFonts w:ascii="Garamond" w:hAnsi="Garamond" w:cstheme="majorBidi"/>
          <w:sz w:val="26"/>
          <w:szCs w:val="26"/>
        </w:rPr>
      </w:pPr>
      <w:r w:rsidRPr="00D31548">
        <w:rPr>
          <w:rFonts w:ascii="Garamond" w:hAnsi="Garamond" w:cstheme="majorBidi"/>
          <w:sz w:val="26"/>
          <w:szCs w:val="26"/>
        </w:rPr>
        <w:lastRenderedPageBreak/>
        <w:t>5. Respondents who answered strongly disagree (1) = 281 x 1 = 281</w:t>
      </w:r>
    </w:p>
    <w:p w14:paraId="75594279" w14:textId="340E8FC1" w:rsidR="00D31548" w:rsidRPr="00D31548" w:rsidRDefault="00D31548" w:rsidP="00D31548">
      <w:pPr>
        <w:spacing w:line="276" w:lineRule="auto"/>
        <w:jc w:val="both"/>
        <w:rPr>
          <w:rFonts w:ascii="Garamond" w:hAnsi="Garamond" w:cstheme="majorBidi"/>
          <w:sz w:val="26"/>
          <w:szCs w:val="26"/>
        </w:rPr>
      </w:pPr>
      <w:r w:rsidRPr="00D31548">
        <w:rPr>
          <w:rFonts w:ascii="Garamond" w:hAnsi="Garamond" w:cstheme="majorBidi"/>
          <w:sz w:val="26"/>
          <w:szCs w:val="26"/>
        </w:rPr>
        <w:t xml:space="preserve">Total questions were 50 </w:t>
      </w:r>
      <w:proofErr w:type="gramStart"/>
      <w:r w:rsidRPr="00D31548">
        <w:rPr>
          <w:rFonts w:ascii="Garamond" w:hAnsi="Garamond" w:cstheme="majorBidi"/>
          <w:sz w:val="26"/>
          <w:szCs w:val="26"/>
        </w:rPr>
        <w:t>questions</w:t>
      </w:r>
      <w:proofErr w:type="gramEnd"/>
      <w:r w:rsidR="00F36D3A">
        <w:rPr>
          <w:rFonts w:ascii="Garamond" w:hAnsi="Garamond" w:cstheme="majorBidi"/>
          <w:sz w:val="26"/>
          <w:szCs w:val="26"/>
        </w:rPr>
        <w:t xml:space="preserve"> </w:t>
      </w:r>
      <w:r w:rsidRPr="00D31548">
        <w:rPr>
          <w:rFonts w:ascii="Garamond" w:hAnsi="Garamond" w:cstheme="majorBidi"/>
          <w:sz w:val="26"/>
          <w:szCs w:val="26"/>
        </w:rPr>
        <w:t>and the total respondents were 94. So, 50 x 94 = 4700. Total score = 245 + 1116 + 8085 + 2792 + 281 = 12519</w:t>
      </w:r>
    </w:p>
    <w:p w14:paraId="7C581D81"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highest score for the item VERY AGREE is 5 x 4700 = 23500, while the VERY NOT AGREE is 1 x 4700 = 4700. Then, if the total score of the respondents is 12519, it means that the value of the respondents' interpretation or recapitulation of the level Sharia financial literacy awareness in the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period 2010-2015 by using the index percent formula is:</w:t>
      </w:r>
    </w:p>
    <w:p w14:paraId="5B70E050" w14:textId="77777777" w:rsidR="00D31548" w:rsidRPr="00D31548" w:rsidRDefault="00D31548" w:rsidP="00D31548">
      <w:pPr>
        <w:spacing w:line="276" w:lineRule="auto"/>
        <w:jc w:val="both"/>
        <w:rPr>
          <w:rFonts w:ascii="Garamond" w:hAnsi="Garamond" w:cstheme="majorBidi"/>
          <w:sz w:val="26"/>
          <w:szCs w:val="26"/>
        </w:rPr>
      </w:pPr>
      <w:r w:rsidRPr="00D31548">
        <w:rPr>
          <w:rFonts w:ascii="Garamond" w:hAnsi="Garamond" w:cstheme="majorBidi"/>
          <w:sz w:val="26"/>
          <w:szCs w:val="26"/>
        </w:rPr>
        <w:t xml:space="preserve">Index% formula </w:t>
      </w:r>
      <w:r w:rsidRPr="00D31548">
        <w:rPr>
          <w:rFonts w:ascii="Garamond" w:hAnsi="Garamond" w:cstheme="majorBidi"/>
          <w:sz w:val="26"/>
          <w:szCs w:val="26"/>
        </w:rPr>
        <w:tab/>
        <w:t>= Total Score / Y x 100</w:t>
      </w:r>
    </w:p>
    <w:p w14:paraId="145A400C" w14:textId="77777777" w:rsidR="00D31548" w:rsidRPr="00D31548" w:rsidRDefault="00D31548" w:rsidP="00D31548">
      <w:pPr>
        <w:spacing w:line="276" w:lineRule="auto"/>
        <w:ind w:left="1620" w:firstLine="540"/>
        <w:jc w:val="both"/>
        <w:rPr>
          <w:rFonts w:ascii="Garamond" w:hAnsi="Garamond" w:cstheme="majorBidi"/>
          <w:sz w:val="26"/>
          <w:szCs w:val="26"/>
        </w:rPr>
      </w:pPr>
      <w:r w:rsidRPr="00D31548">
        <w:rPr>
          <w:rFonts w:ascii="Garamond" w:hAnsi="Garamond" w:cstheme="majorBidi"/>
          <w:sz w:val="26"/>
          <w:szCs w:val="26"/>
        </w:rPr>
        <w:t>= Total Score / Y x 100</w:t>
      </w:r>
    </w:p>
    <w:p w14:paraId="6557BDCF" w14:textId="77777777" w:rsidR="00D31548" w:rsidRPr="00D31548" w:rsidRDefault="00D31548" w:rsidP="00D31548">
      <w:pPr>
        <w:spacing w:line="276" w:lineRule="auto"/>
        <w:ind w:left="1620" w:firstLine="540"/>
        <w:jc w:val="both"/>
        <w:rPr>
          <w:rFonts w:ascii="Garamond" w:hAnsi="Garamond" w:cstheme="majorBidi"/>
          <w:sz w:val="26"/>
          <w:szCs w:val="26"/>
        </w:rPr>
      </w:pPr>
      <w:r w:rsidRPr="00D31548">
        <w:rPr>
          <w:rFonts w:ascii="Garamond" w:hAnsi="Garamond" w:cstheme="majorBidi"/>
          <w:sz w:val="26"/>
          <w:szCs w:val="26"/>
        </w:rPr>
        <w:t>= 12519/23500 x 100</w:t>
      </w:r>
    </w:p>
    <w:p w14:paraId="7219A9E7" w14:textId="77777777" w:rsidR="00D31548" w:rsidRPr="00D31548" w:rsidRDefault="00D31548" w:rsidP="00D31548">
      <w:pPr>
        <w:spacing w:line="276" w:lineRule="auto"/>
        <w:ind w:left="1620" w:firstLine="540"/>
        <w:jc w:val="both"/>
        <w:rPr>
          <w:rFonts w:ascii="Garamond" w:hAnsi="Garamond" w:cstheme="majorBidi"/>
          <w:b/>
          <w:bCs/>
          <w:sz w:val="26"/>
          <w:szCs w:val="26"/>
          <w:lang w:eastAsia="id-ID"/>
        </w:rPr>
      </w:pPr>
      <w:r w:rsidRPr="00D31548">
        <w:rPr>
          <w:rFonts w:ascii="Garamond" w:hAnsi="Garamond" w:cstheme="majorBidi"/>
          <w:sz w:val="26"/>
          <w:szCs w:val="26"/>
        </w:rPr>
        <w:t>= 53.3% = 53%. NEUTRAL category.</w:t>
      </w:r>
    </w:p>
    <w:p w14:paraId="5D97FED9"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From the above data, it can be concluded that the level of awareness of Islamic financial literacy of IAIN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alumni from 2010 - 2015 is still in the neutral category.</w:t>
      </w:r>
    </w:p>
    <w:p w14:paraId="2B18B575" w14:textId="77777777" w:rsidR="00D31548" w:rsidRPr="00D31548" w:rsidRDefault="00D31548" w:rsidP="00D31548">
      <w:pPr>
        <w:spacing w:line="276" w:lineRule="auto"/>
        <w:rPr>
          <w:rFonts w:ascii="Garamond" w:eastAsia="Palatino Linotype" w:hAnsi="Garamond"/>
          <w:b/>
          <w:sz w:val="26"/>
          <w:szCs w:val="26"/>
        </w:rPr>
      </w:pPr>
    </w:p>
    <w:p w14:paraId="6DF60F2F" w14:textId="0711A7EA" w:rsidR="00D31548" w:rsidRPr="00D31548" w:rsidRDefault="00D31548" w:rsidP="00D31548">
      <w:pPr>
        <w:spacing w:line="276" w:lineRule="auto"/>
        <w:rPr>
          <w:rFonts w:ascii="Garamond" w:eastAsia="Palatino Linotype" w:hAnsi="Garamond"/>
          <w:b/>
          <w:sz w:val="26"/>
          <w:szCs w:val="26"/>
        </w:rPr>
      </w:pPr>
      <w:r w:rsidRPr="00D31548">
        <w:rPr>
          <w:rFonts w:ascii="Garamond" w:eastAsia="Palatino Linotype" w:hAnsi="Garamond"/>
          <w:b/>
          <w:sz w:val="26"/>
          <w:szCs w:val="26"/>
        </w:rPr>
        <w:t>Discussion</w:t>
      </w:r>
    </w:p>
    <w:p w14:paraId="1AD90075" w14:textId="4B63685D" w:rsidR="00D31548" w:rsidRPr="00D31548"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In the discussion of research results based on the above data analysis, researchers will combine them with the data obtained from the results of in-depth interviews. The following discussion of research results based on the independent variable of the dependent variable:</w:t>
      </w:r>
    </w:p>
    <w:p w14:paraId="11F345A6"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The Influence of Gender on Sharia Financial Literacy</w:t>
      </w:r>
    </w:p>
    <w:p w14:paraId="3CC3AD2C"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In table 4. 5 t test results, we can conclude that gender does not have a significant effect on the level of sharia financial literacy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2010-2015, due to the probability value of sig. amounting to 0.813 is greater than 0.05.</w:t>
      </w:r>
    </w:p>
    <w:p w14:paraId="39D74FD8"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results of gender research have no effect on the level of sharia financial literacy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2010-2015 showing that men and women have the same opportunities and abilities in terms of sharia financial literacy. As in the current era of globalization and modernization where gender equality is the </w:t>
      </w:r>
      <w:proofErr w:type="gramStart"/>
      <w:r w:rsidRPr="00D31548">
        <w:rPr>
          <w:rFonts w:ascii="Garamond" w:hAnsi="Garamond" w:cstheme="majorBidi"/>
          <w:sz w:val="26"/>
          <w:szCs w:val="26"/>
        </w:rPr>
        <w:t>main focus</w:t>
      </w:r>
      <w:proofErr w:type="gramEnd"/>
      <w:r w:rsidRPr="00D31548">
        <w:rPr>
          <w:rFonts w:ascii="Garamond" w:hAnsi="Garamond" w:cstheme="majorBidi"/>
          <w:sz w:val="26"/>
          <w:szCs w:val="26"/>
        </w:rPr>
        <w:t xml:space="preserve"> in the development of the State, both in terms of economic, social, and political </w:t>
      </w:r>
      <w:sdt>
        <w:sdtPr>
          <w:rPr>
            <w:rFonts w:ascii="Garamond" w:hAnsi="Garamond" w:cstheme="majorBidi"/>
            <w:sz w:val="26"/>
            <w:szCs w:val="26"/>
          </w:rPr>
          <w:id w:val="-161989971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Mic18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(Flood, 2018)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This happens because the times have changed and developed rapidly, in contrast to ancient times when discrimination against women is still limited in scope and gestures </w:t>
      </w:r>
      <w:sdt>
        <w:sdtPr>
          <w:rPr>
            <w:rFonts w:ascii="Garamond" w:hAnsi="Garamond" w:cstheme="majorBidi"/>
            <w:sz w:val="26"/>
            <w:szCs w:val="26"/>
          </w:rPr>
          <w:id w:val="237838841"/>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Cha18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(Nyman, Reinikainen, &amp; Eriksson, 2018)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141EE9AA"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presumption and research that says that women are more financially manageable than men are now firmly denied </w:t>
      </w:r>
      <w:r w:rsidRPr="00D31548">
        <w:rPr>
          <w:rFonts w:ascii="Garamond" w:hAnsi="Garamond" w:cstheme="majorBidi"/>
          <w:noProof/>
          <w:sz w:val="26"/>
          <w:szCs w:val="26"/>
        </w:rPr>
        <w:t>(</w:t>
      </w:r>
      <w:proofErr w:type="spellStart"/>
      <w:proofErr w:type="gramStart"/>
      <w:r w:rsidRPr="00D31548">
        <w:rPr>
          <w:rFonts w:ascii="Garamond" w:hAnsi="Garamond" w:cstheme="majorBidi"/>
          <w:sz w:val="26"/>
          <w:szCs w:val="26"/>
        </w:rPr>
        <w:t>Potrich</w:t>
      </w:r>
      <w:proofErr w:type="spellEnd"/>
      <w:r w:rsidRPr="00D31548">
        <w:rPr>
          <w:rFonts w:ascii="Garamond" w:hAnsi="Garamond" w:cstheme="majorBidi"/>
          <w:sz w:val="26"/>
          <w:szCs w:val="26"/>
        </w:rPr>
        <w:t>,  Vieira</w:t>
      </w:r>
      <w:proofErr w:type="gramEnd"/>
      <w:r w:rsidRPr="00D31548">
        <w:rPr>
          <w:rFonts w:ascii="Garamond" w:hAnsi="Garamond" w:cstheme="majorBidi"/>
          <w:sz w:val="26"/>
          <w:szCs w:val="26"/>
        </w:rPr>
        <w:t xml:space="preserve">, </w:t>
      </w:r>
      <w:proofErr w:type="spellStart"/>
      <w:r w:rsidRPr="00D31548">
        <w:rPr>
          <w:rFonts w:ascii="Garamond" w:hAnsi="Garamond" w:cstheme="majorBidi"/>
          <w:sz w:val="26"/>
          <w:szCs w:val="26"/>
        </w:rPr>
        <w:t>Kirch</w:t>
      </w:r>
      <w:proofErr w:type="spellEnd"/>
      <w:r w:rsidRPr="00D31548">
        <w:rPr>
          <w:rFonts w:ascii="Garamond" w:hAnsi="Garamond" w:cstheme="majorBidi"/>
          <w:noProof/>
          <w:sz w:val="26"/>
          <w:szCs w:val="26"/>
        </w:rPr>
        <w:t>, 2017)</w:t>
      </w:r>
      <w:r w:rsidRPr="00D31548">
        <w:rPr>
          <w:rFonts w:ascii="Garamond" w:hAnsi="Garamond" w:cstheme="majorBidi"/>
          <w:sz w:val="26"/>
          <w:szCs w:val="26"/>
        </w:rPr>
        <w:t xml:space="preserve">.  This statement is reinforced by research which says that a person's financial literacy has no effect on what gender. However, there are studies that argue that women's financial literacy in marginal and remote areas is still very small because it is influenced by their </w:t>
      </w:r>
      <w:r w:rsidRPr="00D31548">
        <w:rPr>
          <w:rFonts w:ascii="Garamond" w:hAnsi="Garamond" w:cstheme="majorBidi"/>
          <w:sz w:val="26"/>
          <w:szCs w:val="26"/>
        </w:rPr>
        <w:lastRenderedPageBreak/>
        <w:t xml:space="preserve">educational backgrounds </w:t>
      </w:r>
      <w:sdt>
        <w:sdtPr>
          <w:rPr>
            <w:rFonts w:ascii="Garamond" w:hAnsi="Garamond" w:cstheme="majorBidi"/>
            <w:sz w:val="26"/>
            <w:szCs w:val="26"/>
          </w:rPr>
          <w:id w:val="614251412"/>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Muh18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(Haider, Changchun, Akram, &amp; Hussain, 2018)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The study was refuted again by research conducted by Andrej </w:t>
      </w:r>
      <w:proofErr w:type="spellStart"/>
      <w:r w:rsidRPr="00D31548">
        <w:rPr>
          <w:rFonts w:ascii="Garamond" w:hAnsi="Garamond" w:cstheme="majorBidi"/>
          <w:sz w:val="26"/>
          <w:szCs w:val="26"/>
        </w:rPr>
        <w:t>Cupák</w:t>
      </w:r>
      <w:proofErr w:type="spellEnd"/>
      <w:r w:rsidRPr="00D31548">
        <w:rPr>
          <w:rFonts w:ascii="Garamond" w:hAnsi="Garamond" w:cstheme="majorBidi"/>
          <w:sz w:val="26"/>
          <w:szCs w:val="26"/>
        </w:rPr>
        <w:t xml:space="preserve">, </w:t>
      </w:r>
      <w:proofErr w:type="spellStart"/>
      <w:r w:rsidRPr="00D31548">
        <w:rPr>
          <w:rFonts w:ascii="Garamond" w:hAnsi="Garamond" w:cstheme="majorBidi"/>
          <w:sz w:val="26"/>
          <w:szCs w:val="26"/>
        </w:rPr>
        <w:t>Pirmin</w:t>
      </w:r>
      <w:proofErr w:type="spellEnd"/>
      <w:r w:rsidRPr="00D31548">
        <w:rPr>
          <w:rFonts w:ascii="Garamond" w:hAnsi="Garamond" w:cstheme="majorBidi"/>
          <w:sz w:val="26"/>
          <w:szCs w:val="26"/>
        </w:rPr>
        <w:t xml:space="preserve"> Fessler, Alyssa </w:t>
      </w:r>
      <w:proofErr w:type="spellStart"/>
      <w:r w:rsidRPr="00D31548">
        <w:rPr>
          <w:rFonts w:ascii="Garamond" w:hAnsi="Garamond" w:cstheme="majorBidi"/>
          <w:sz w:val="26"/>
          <w:szCs w:val="26"/>
        </w:rPr>
        <w:t>Schneebaum</w:t>
      </w:r>
      <w:proofErr w:type="spellEnd"/>
      <w:r w:rsidRPr="00D31548">
        <w:rPr>
          <w:rFonts w:ascii="Garamond" w:hAnsi="Garamond" w:cstheme="majorBidi"/>
          <w:sz w:val="26"/>
          <w:szCs w:val="26"/>
        </w:rPr>
        <w:t xml:space="preserve">, and Maria </w:t>
      </w:r>
      <w:proofErr w:type="spellStart"/>
      <w:r w:rsidRPr="00D31548">
        <w:rPr>
          <w:rFonts w:ascii="Garamond" w:hAnsi="Garamond" w:cstheme="majorBidi"/>
          <w:sz w:val="26"/>
          <w:szCs w:val="26"/>
        </w:rPr>
        <w:t>Silgoner</w:t>
      </w:r>
      <w:proofErr w:type="spellEnd"/>
      <w:r w:rsidRPr="00D31548">
        <w:rPr>
          <w:rFonts w:ascii="Garamond" w:hAnsi="Garamond" w:cstheme="majorBidi"/>
          <w:sz w:val="26"/>
          <w:szCs w:val="26"/>
        </w:rPr>
        <w:t xml:space="preserve"> who believed that the level of financial literacy for women in developed countries was very high, in contrast to developing countries such as Bangladesh, Indonesia, Malaysia and Pakistan. But women's participation in economic development continues to increase every year </w:t>
      </w:r>
      <w:sdt>
        <w:sdtPr>
          <w:rPr>
            <w:rFonts w:ascii="Garamond" w:hAnsi="Garamond" w:cstheme="majorBidi"/>
            <w:sz w:val="26"/>
            <w:szCs w:val="26"/>
          </w:rPr>
          <w:id w:val="1702822336"/>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And18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(Cupák, Fessler, Schneebaum, &amp; Silgoner, 2018)</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00F6CA38"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However, this is mediated by research which states that gender equality depends on the socio-cultural environment of a region </w:t>
      </w:r>
      <w:sdt>
        <w:sdtPr>
          <w:rPr>
            <w:rFonts w:ascii="Garamond" w:hAnsi="Garamond" w:cstheme="majorBidi"/>
            <w:sz w:val="26"/>
            <w:szCs w:val="26"/>
          </w:rPr>
          <w:id w:val="160438617"/>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Cha181 \t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(Nyman, Reinikainen, &amp; Eriksson, 2018)</w:t>
          </w:r>
          <w:r w:rsidRPr="00D31548">
            <w:rPr>
              <w:rFonts w:ascii="Garamond" w:hAnsi="Garamond" w:cstheme="majorBidi"/>
              <w:sz w:val="26"/>
              <w:szCs w:val="26"/>
            </w:rPr>
            <w:fldChar w:fldCharType="end"/>
          </w:r>
        </w:sdtContent>
      </w:sdt>
      <w:r w:rsidRPr="00D31548">
        <w:rPr>
          <w:rFonts w:ascii="Garamond" w:hAnsi="Garamond" w:cstheme="majorBidi"/>
          <w:sz w:val="26"/>
          <w:szCs w:val="26"/>
        </w:rPr>
        <w:t>. Including the equality in terms of Islamic financial literacy. In the Islamic view, men and women are already found in the Holy Qur'an regarding matters and obligations and equality in the eyes of Allah SWT, except faith and piety. As in the surah Al-Qur'an Surah Al-</w:t>
      </w:r>
      <w:proofErr w:type="spellStart"/>
      <w:r w:rsidRPr="00D31548">
        <w:rPr>
          <w:rFonts w:ascii="Garamond" w:hAnsi="Garamond" w:cstheme="majorBidi"/>
          <w:sz w:val="26"/>
          <w:szCs w:val="26"/>
        </w:rPr>
        <w:t>Hujurat</w:t>
      </w:r>
      <w:proofErr w:type="spellEnd"/>
      <w:r w:rsidRPr="00D31548">
        <w:rPr>
          <w:rFonts w:ascii="Garamond" w:hAnsi="Garamond" w:cstheme="majorBidi"/>
          <w:sz w:val="26"/>
          <w:szCs w:val="26"/>
        </w:rPr>
        <w:t xml:space="preserve"> verse 13.</w:t>
      </w:r>
    </w:p>
    <w:p w14:paraId="16B8874F"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Looking at the data generated from in-depth interviews, respondents with the initials De said that after marriage, he and his wife had a proportional division of tasks, such as the wife managing finances and the husband made a living, where in his single period, De was used to also record personal finances and investing. De never forbids his wife to work or study again, because according to De, it is the intelligence of women who will be inherited by their children, including intelligence in matters of financial management </w:t>
      </w:r>
      <w:sdt>
        <w:sdtPr>
          <w:rPr>
            <w:rFonts w:ascii="Garamond" w:hAnsi="Garamond" w:cstheme="majorBidi"/>
            <w:sz w:val="26"/>
            <w:szCs w:val="26"/>
          </w:rPr>
          <w:id w:val="-1445537649"/>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De19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(De,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65CCBC93" w14:textId="3FA7A601" w:rsidR="00D31548" w:rsidRPr="00F36D3A"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This is consistent with Si's statement that he as a wife became the minister of finance in the household. The person is permitted to work for a living and may also receive the highest level of education by her husband, without forgetting the nature and obligations of his wife and young mother </w:t>
      </w:r>
      <w:sdt>
        <w:sdtPr>
          <w:rPr>
            <w:rFonts w:ascii="Garamond" w:hAnsi="Garamond" w:cstheme="majorBidi"/>
            <w:sz w:val="26"/>
            <w:szCs w:val="26"/>
          </w:rPr>
          <w:id w:val="1465545388"/>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(Si,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The statement is in accordance with research conducted by Jing Zou and </w:t>
      </w:r>
      <w:proofErr w:type="spellStart"/>
      <w:r w:rsidRPr="00D31548">
        <w:rPr>
          <w:rFonts w:ascii="Garamond" w:hAnsi="Garamond" w:cstheme="majorBidi"/>
          <w:sz w:val="26"/>
          <w:szCs w:val="26"/>
        </w:rPr>
        <w:t>Xiaojun</w:t>
      </w:r>
      <w:proofErr w:type="spellEnd"/>
      <w:r w:rsidRPr="00D31548">
        <w:rPr>
          <w:rFonts w:ascii="Garamond" w:hAnsi="Garamond" w:cstheme="majorBidi"/>
          <w:sz w:val="26"/>
          <w:szCs w:val="26"/>
        </w:rPr>
        <w:t xml:space="preserve"> Deng said that when men and women have the same roles and rights in controlling and managing finances so that it affects the level of financial literacy and decision making, especially if they are already married </w:t>
      </w:r>
      <w:sdt>
        <w:sdtPr>
          <w:rPr>
            <w:rFonts w:ascii="Garamond" w:hAnsi="Garamond" w:cstheme="majorBidi"/>
            <w:sz w:val="26"/>
            <w:szCs w:val="26"/>
          </w:rPr>
          <w:id w:val="-1395733426"/>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(Si,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7A6B4D62"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The Influence of Marital Status on Sharia Financial Literacy</w:t>
      </w:r>
    </w:p>
    <w:p w14:paraId="01849DB8"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From the results of the t test in table 4. 5 we can know that marital status has a significant effect on the level of sharia financial literacy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2010 - 2015. This is due to the probability value of sig. is at a value of 0.02 smaller than 0.05.</w:t>
      </w:r>
    </w:p>
    <w:p w14:paraId="57A34BB9"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Marriage makes someone more open and literate towards the future, including in terms of managing personal finances. Especially at the age of quarterlife where according to Oliver </w:t>
      </w:r>
      <w:proofErr w:type="spellStart"/>
      <w:r w:rsidRPr="00D31548">
        <w:rPr>
          <w:rFonts w:ascii="Garamond" w:hAnsi="Garamond" w:cstheme="majorBidi"/>
          <w:sz w:val="26"/>
          <w:szCs w:val="26"/>
        </w:rPr>
        <w:t>Robinso</w:t>
      </w:r>
      <w:proofErr w:type="spellEnd"/>
      <w:r w:rsidRPr="00D31548">
        <w:rPr>
          <w:rFonts w:ascii="Garamond" w:hAnsi="Garamond" w:cstheme="majorBidi"/>
          <w:sz w:val="26"/>
          <w:szCs w:val="26"/>
        </w:rPr>
        <w:t xml:space="preserve">, 60% of individuals find it difficult to manage their finances, except when getting more responsibilities such as getting married and having children. Young people who choose to get married at a young age, when faced with the phenomenon of quarterlife crisis will be easier to control and adapt if the communication in their marriage </w:t>
      </w:r>
      <w:r w:rsidRPr="00D31548">
        <w:rPr>
          <w:rFonts w:ascii="Garamond" w:hAnsi="Garamond" w:cstheme="majorBidi"/>
          <w:sz w:val="26"/>
          <w:szCs w:val="26"/>
        </w:rPr>
        <w:lastRenderedPageBreak/>
        <w:t xml:space="preserve">goes well and smooth, and continues to remember that the purpose of marriage is not only to continue the offspring, but also to share affection and responsibility, and happiness and suffering joyfully </w:t>
      </w:r>
      <w:sdt>
        <w:sdtPr>
          <w:rPr>
            <w:rFonts w:ascii="Garamond" w:hAnsi="Garamond" w:cstheme="majorBidi"/>
            <w:sz w:val="26"/>
            <w:szCs w:val="26"/>
          </w:rPr>
          <w:id w:val="1331797486"/>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Yan16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(Gonczarowski, Nisan, Ostrovsky, &amp; Rosenbaum, 2016)</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2E9CD4AC"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This is in line with research conducted in the City of Coimbatore by </w:t>
      </w:r>
      <w:proofErr w:type="spellStart"/>
      <w:r w:rsidRPr="00D31548">
        <w:rPr>
          <w:rFonts w:ascii="Garamond" w:hAnsi="Garamond" w:cstheme="majorBidi"/>
          <w:sz w:val="26"/>
          <w:szCs w:val="26"/>
        </w:rPr>
        <w:t>Sekar</w:t>
      </w:r>
      <w:proofErr w:type="spellEnd"/>
      <w:r w:rsidRPr="00D31548">
        <w:rPr>
          <w:rFonts w:ascii="Garamond" w:hAnsi="Garamond" w:cstheme="majorBidi"/>
          <w:sz w:val="26"/>
          <w:szCs w:val="26"/>
        </w:rPr>
        <w:t xml:space="preserve"> M and Gowri M who said that marital status has a significant influence on financial literacy in which the government should have a strong role in educating financial literacy to young people so that they will be more alert in the future. manage finances when married. No longer because of the demands of </w:t>
      </w:r>
      <w:proofErr w:type="gramStart"/>
      <w:r w:rsidRPr="00D31548">
        <w:rPr>
          <w:rFonts w:ascii="Garamond" w:hAnsi="Garamond" w:cstheme="majorBidi"/>
          <w:sz w:val="26"/>
          <w:szCs w:val="26"/>
        </w:rPr>
        <w:t>responsibility, but</w:t>
      </w:r>
      <w:proofErr w:type="gramEnd"/>
      <w:r w:rsidRPr="00D31548">
        <w:rPr>
          <w:rFonts w:ascii="Garamond" w:hAnsi="Garamond" w:cstheme="majorBidi"/>
          <w:sz w:val="26"/>
          <w:szCs w:val="26"/>
        </w:rPr>
        <w:t xml:space="preserve"> has become a habit and characteristic </w:t>
      </w:r>
      <w:sdt>
        <w:sdtPr>
          <w:rPr>
            <w:rFonts w:ascii="Garamond" w:hAnsi="Garamond" w:cstheme="majorBidi"/>
            <w:sz w:val="26"/>
            <w:szCs w:val="26"/>
          </w:rPr>
          <w:id w:val="-1775547471"/>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Sek151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(Sekar &amp; Gowri, 2015)</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51978EF8"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In contrast to </w:t>
      </w:r>
      <w:proofErr w:type="spellStart"/>
      <w:r w:rsidRPr="00D31548">
        <w:rPr>
          <w:rFonts w:ascii="Garamond" w:hAnsi="Garamond" w:cstheme="majorBidi"/>
          <w:sz w:val="26"/>
          <w:szCs w:val="26"/>
        </w:rPr>
        <w:t>Sekar</w:t>
      </w:r>
      <w:proofErr w:type="spellEnd"/>
      <w:r w:rsidRPr="00D31548">
        <w:rPr>
          <w:rFonts w:ascii="Garamond" w:hAnsi="Garamond" w:cstheme="majorBidi"/>
          <w:sz w:val="26"/>
          <w:szCs w:val="26"/>
        </w:rPr>
        <w:t xml:space="preserve"> M and Gowri M, on the other hand there are studies that argue that marital status has no effect on a person's literacy level, especially at the age of quarterlife </w:t>
      </w:r>
      <w:sdt>
        <w:sdtPr>
          <w:rPr>
            <w:rFonts w:ascii="Garamond" w:hAnsi="Garamond" w:cstheme="majorBidi"/>
            <w:i/>
            <w:sz w:val="26"/>
            <w:szCs w:val="26"/>
          </w:rPr>
          <w:id w:val="-1806611222"/>
          <w:citation/>
        </w:sdtPr>
        <w:sdtContent>
          <w:r w:rsidRPr="00D31548">
            <w:rPr>
              <w:rFonts w:ascii="Garamond" w:hAnsi="Garamond" w:cstheme="majorBidi"/>
              <w:i/>
              <w:sz w:val="26"/>
              <w:szCs w:val="26"/>
            </w:rPr>
            <w:fldChar w:fldCharType="begin"/>
          </w:r>
          <w:r w:rsidRPr="00D31548">
            <w:rPr>
              <w:rFonts w:ascii="Garamond" w:hAnsi="Garamond" w:cstheme="majorBidi"/>
              <w:i/>
              <w:sz w:val="26"/>
              <w:szCs w:val="26"/>
            </w:rPr>
            <w:instrText xml:space="preserve"> CITATION Sek151 \l 1033 </w:instrText>
          </w:r>
          <w:r w:rsidRPr="00D31548">
            <w:rPr>
              <w:rFonts w:ascii="Garamond" w:hAnsi="Garamond" w:cstheme="majorBidi"/>
              <w:i/>
              <w:sz w:val="26"/>
              <w:szCs w:val="26"/>
            </w:rPr>
            <w:fldChar w:fldCharType="separate"/>
          </w:r>
          <w:r w:rsidRPr="00D31548">
            <w:rPr>
              <w:rFonts w:ascii="Garamond" w:hAnsi="Garamond" w:cstheme="majorBidi"/>
              <w:noProof/>
              <w:sz w:val="26"/>
              <w:szCs w:val="26"/>
            </w:rPr>
            <w:t>(Sekar &amp; Gowri, 2015)</w:t>
          </w:r>
          <w:r w:rsidRPr="00D31548">
            <w:rPr>
              <w:rFonts w:ascii="Garamond" w:hAnsi="Garamond" w:cstheme="majorBidi"/>
              <w:i/>
              <w:sz w:val="26"/>
              <w:szCs w:val="26"/>
            </w:rPr>
            <w:fldChar w:fldCharType="end"/>
          </w:r>
        </w:sdtContent>
      </w:sdt>
      <w:r w:rsidRPr="00D31548">
        <w:rPr>
          <w:rFonts w:ascii="Garamond" w:hAnsi="Garamond" w:cstheme="majorBidi"/>
          <w:sz w:val="26"/>
          <w:szCs w:val="26"/>
        </w:rPr>
        <w:t xml:space="preserve">. This research reveals that what influences the level of financial literacy is seen from all aspects. Not a few people understand basic financial knowledge, but still lack understanding of the aspects of investment, insurance, saving and borrowing, as well as other existing financial institutions. </w:t>
      </w:r>
      <w:proofErr w:type="gramStart"/>
      <w:r w:rsidRPr="00D31548">
        <w:rPr>
          <w:rFonts w:ascii="Garamond" w:hAnsi="Garamond" w:cstheme="majorBidi"/>
          <w:sz w:val="26"/>
          <w:szCs w:val="26"/>
        </w:rPr>
        <w:t>Plus</w:t>
      </w:r>
      <w:proofErr w:type="gramEnd"/>
      <w:r w:rsidRPr="00D31548">
        <w:rPr>
          <w:rFonts w:ascii="Garamond" w:hAnsi="Garamond" w:cstheme="majorBidi"/>
          <w:sz w:val="26"/>
          <w:szCs w:val="26"/>
        </w:rPr>
        <w:t xml:space="preserve"> in this day and age where there is digital fintech to facilitate all kinds of transactions that demand everyone to be more familiar with financial literacy through all aspects. If someone lacks awareness in financial literacy, whether married or unmarried, it will not affect his habits </w:t>
      </w:r>
      <w:sdt>
        <w:sdtPr>
          <w:rPr>
            <w:rFonts w:ascii="Garamond" w:hAnsi="Garamond" w:cstheme="majorBidi"/>
            <w:sz w:val="26"/>
            <w:szCs w:val="26"/>
          </w:rPr>
          <w:id w:val="1380118712"/>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Jin19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(Zou &amp; Deng,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3E549AAF"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This was emphasized in the in-depth interview, the initials of Ba as a single person still could not record regularly his personal finances, as well as lack of knowledge about investment and insurance, even feeling less trusting in Islamic financial institutions because the procedural system was complicated or did not facilitate, cash withdrawal services that are difficult to find, and there are several Islamic banks with less friendly services and customer service explanations that are difficult to understand. Ba also explained that the online wallet application and online investment are still not fully understood, limited to just knowing or never hearing. The only online wallet that Ba has ever used is the online wallet application from online motorcycle taxis </w:t>
      </w:r>
      <w:sdt>
        <w:sdtPr>
          <w:rPr>
            <w:rFonts w:ascii="Garamond" w:hAnsi="Garamond" w:cstheme="majorBidi"/>
            <w:sz w:val="26"/>
            <w:szCs w:val="26"/>
          </w:rPr>
          <w:id w:val="363637382"/>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(Ba,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4EBEF634"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However, the respondent with the </w:t>
      </w:r>
      <w:proofErr w:type="gramStart"/>
      <w:r w:rsidRPr="00D31548">
        <w:rPr>
          <w:rFonts w:ascii="Garamond" w:hAnsi="Garamond" w:cstheme="majorBidi"/>
          <w:sz w:val="26"/>
          <w:szCs w:val="26"/>
        </w:rPr>
        <w:t>initials</w:t>
      </w:r>
      <w:proofErr w:type="gramEnd"/>
      <w:r w:rsidRPr="00D31548">
        <w:rPr>
          <w:rFonts w:ascii="Garamond" w:hAnsi="Garamond" w:cstheme="majorBidi"/>
          <w:sz w:val="26"/>
          <w:szCs w:val="26"/>
        </w:rPr>
        <w:t xml:space="preserve"> Si said that after marriage, he felt there were financial demands that he must understand for his household life. So inevitably he must be aware and understand everything before it is too late, for him slowly but surely. This was also helped by their partners in learning about Islamic finance. Even though until now Si still has no Islamic investment and Islamic insurance, Si and his partner believe to save and borrow at Islamic banks until now </w:t>
      </w:r>
      <w:sdt>
        <w:sdtPr>
          <w:rPr>
            <w:rFonts w:ascii="Garamond" w:hAnsi="Garamond" w:cstheme="majorBidi"/>
            <w:sz w:val="26"/>
            <w:szCs w:val="26"/>
          </w:rPr>
          <w:id w:val="-316958809"/>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(Si,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0EF7FF70"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That is also what Han said, a woman who works as a young entrepreneur with an income of more than seven million rupiah per month. Han, who is about to release his bachelor, believes there are significant changes in financial management when he knows he is getting married. Han began to learn massively and understand what </w:t>
      </w:r>
      <w:proofErr w:type="gramStart"/>
      <w:r w:rsidRPr="00D31548">
        <w:rPr>
          <w:rFonts w:ascii="Garamond" w:hAnsi="Garamond" w:cstheme="majorBidi"/>
          <w:sz w:val="26"/>
          <w:szCs w:val="26"/>
        </w:rPr>
        <w:t xml:space="preserve">is a stock </w:t>
      </w:r>
      <w:r w:rsidRPr="00D31548">
        <w:rPr>
          <w:rFonts w:ascii="Garamond" w:hAnsi="Garamond" w:cstheme="majorBidi"/>
          <w:sz w:val="26"/>
          <w:szCs w:val="26"/>
        </w:rPr>
        <w:lastRenderedPageBreak/>
        <w:t>investment</w:t>
      </w:r>
      <w:proofErr w:type="gramEnd"/>
      <w:r w:rsidRPr="00D31548">
        <w:rPr>
          <w:rFonts w:ascii="Garamond" w:hAnsi="Garamond" w:cstheme="majorBidi"/>
          <w:sz w:val="26"/>
          <w:szCs w:val="26"/>
        </w:rPr>
        <w:t xml:space="preserve"> and Islamic mutual funds, and ask directly to Islamic insurance companies about the mechanisms and systems that are in it. For Ha, before getting married, Han would rather spend his money on hobbies and lifestyle, with no clear purpose where to earn income from his work </w:t>
      </w:r>
      <w:sdt>
        <w:sdtPr>
          <w:rPr>
            <w:rFonts w:ascii="Garamond" w:hAnsi="Garamond" w:cstheme="majorBidi"/>
            <w:sz w:val="26"/>
            <w:szCs w:val="26"/>
          </w:rPr>
          <w:id w:val="-211010837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Ini192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(Ha,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5B0F174B"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This is in line with research conducted by Chris Brooks, Ivan </w:t>
      </w:r>
      <w:proofErr w:type="spellStart"/>
      <w:r w:rsidRPr="00D31548">
        <w:rPr>
          <w:rFonts w:ascii="Garamond" w:hAnsi="Garamond" w:cstheme="majorBidi"/>
          <w:sz w:val="26"/>
          <w:szCs w:val="26"/>
        </w:rPr>
        <w:t>Sangiorgi</w:t>
      </w:r>
      <w:proofErr w:type="spellEnd"/>
      <w:r w:rsidRPr="00D31548">
        <w:rPr>
          <w:rFonts w:ascii="Garamond" w:hAnsi="Garamond" w:cstheme="majorBidi"/>
          <w:sz w:val="26"/>
          <w:szCs w:val="26"/>
        </w:rPr>
        <w:t xml:space="preserve">, Carola Hillenbrand, and Kevin Money who stated that husband and wife become more financially literate when married and take decisions together in household finances, especially if they come together to financial </w:t>
      </w:r>
      <w:proofErr w:type="spellStart"/>
      <w:r w:rsidRPr="00D31548">
        <w:rPr>
          <w:rFonts w:ascii="Garamond" w:hAnsi="Garamond" w:cstheme="majorBidi"/>
          <w:sz w:val="26"/>
          <w:szCs w:val="26"/>
        </w:rPr>
        <w:t>advicer</w:t>
      </w:r>
      <w:proofErr w:type="spellEnd"/>
      <w:r w:rsidRPr="00D31548">
        <w:rPr>
          <w:rFonts w:ascii="Garamond" w:hAnsi="Garamond" w:cstheme="majorBidi"/>
          <w:sz w:val="26"/>
          <w:szCs w:val="26"/>
        </w:rPr>
        <w:t xml:space="preserve"> regarding financial management, from financial planning to financial risk taking </w:t>
      </w:r>
      <w:sdt>
        <w:sdtPr>
          <w:rPr>
            <w:rFonts w:ascii="Garamond" w:hAnsi="Garamond" w:cstheme="majorBidi"/>
            <w:sz w:val="26"/>
            <w:szCs w:val="26"/>
          </w:rPr>
          <w:id w:val="-474836724"/>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Chr19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(Brooks, Sangiorgi, Hillenbrand, &amp; Money,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6CFD8D82" w14:textId="77777777" w:rsidR="00D31548" w:rsidRPr="00D31548" w:rsidRDefault="00D31548" w:rsidP="00D31548">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 xml:space="preserve">There are even studies that say that the level of children's financial literacy is influenced by how both parents educate and provide an understanding of saving and borrowing early on  </w:t>
      </w:r>
      <w:sdt>
        <w:sdtPr>
          <w:rPr>
            <w:rFonts w:ascii="Garamond" w:hAnsi="Garamond" w:cstheme="majorBidi"/>
            <w:sz w:val="26"/>
            <w:szCs w:val="26"/>
          </w:rPr>
          <w:id w:val="871879123"/>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CITATION Dol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(Moreno-Herrero, Salas-Velasco, &amp; Sánchez-Campillo, 2018)</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So that children can make their own financial programs as taught by their parents, making the child more ready to face challenges, especially in the times of a life crisis </w:t>
      </w:r>
      <w:sdt>
        <w:sdtPr>
          <w:rPr>
            <w:rFonts w:ascii="Garamond" w:hAnsi="Garamond" w:cstheme="majorBidi"/>
            <w:sz w:val="26"/>
            <w:szCs w:val="26"/>
          </w:rPr>
          <w:id w:val="128439584"/>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Tho18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(Hanson &amp; Olson, 2018)</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3B22C221" w14:textId="1D98559F" w:rsidR="00D31548" w:rsidRPr="00D31548" w:rsidRDefault="00D31548" w:rsidP="00F36D3A">
      <w:pPr>
        <w:spacing w:line="276" w:lineRule="auto"/>
        <w:ind w:firstLine="720"/>
        <w:jc w:val="both"/>
        <w:rPr>
          <w:rFonts w:ascii="Garamond" w:hAnsi="Garamond" w:cstheme="majorBidi"/>
          <w:b/>
          <w:sz w:val="26"/>
          <w:szCs w:val="26"/>
        </w:rPr>
      </w:pPr>
      <w:r w:rsidRPr="00D31548">
        <w:rPr>
          <w:rFonts w:ascii="Garamond" w:hAnsi="Garamond" w:cstheme="majorBidi"/>
          <w:sz w:val="26"/>
          <w:szCs w:val="26"/>
        </w:rPr>
        <w:t>That means it can be concluded that the marital status of a person has a strong influence on the high and low levels of financial literacy of individuals and households. When a husband and wife can perform their rights and obligations well and have smooth and good communication, including in their awareness of sharia financial literacy and have become a habit or character in the household, then this will affect the ability of sharia financial literacy of children indirectly since early stage. Even someone who is about to get married (proposed), according to respondents on behalf of Han initials, he can feel a drastic change in the way he manages personal finances.</w:t>
      </w:r>
    </w:p>
    <w:p w14:paraId="3F7E503E"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 xml:space="preserve">The Influence of Income </w:t>
      </w:r>
      <w:proofErr w:type="spellStart"/>
      <w:r w:rsidRPr="00D31548">
        <w:rPr>
          <w:rFonts w:ascii="Garamond" w:hAnsi="Garamond" w:cstheme="majorBidi"/>
          <w:b/>
          <w:sz w:val="26"/>
          <w:szCs w:val="26"/>
        </w:rPr>
        <w:t>permonth</w:t>
      </w:r>
      <w:proofErr w:type="spellEnd"/>
      <w:r w:rsidRPr="00D31548">
        <w:rPr>
          <w:rFonts w:ascii="Garamond" w:hAnsi="Garamond" w:cstheme="majorBidi"/>
          <w:b/>
          <w:sz w:val="26"/>
          <w:szCs w:val="26"/>
        </w:rPr>
        <w:t xml:space="preserve"> on Sharia Financial Literacy</w:t>
      </w:r>
    </w:p>
    <w:p w14:paraId="6BD935B5"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regression test results in table 4. 5 show that the probability value is 0.82 greater than 0.05 or it can be concluded that income </w:t>
      </w:r>
      <w:proofErr w:type="spellStart"/>
      <w:r w:rsidRPr="00D31548">
        <w:rPr>
          <w:rFonts w:ascii="Garamond" w:hAnsi="Garamond" w:cstheme="majorBidi"/>
          <w:sz w:val="26"/>
          <w:szCs w:val="26"/>
        </w:rPr>
        <w:t>permonth</w:t>
      </w:r>
      <w:proofErr w:type="spellEnd"/>
      <w:r w:rsidRPr="00D31548">
        <w:rPr>
          <w:rFonts w:ascii="Garamond" w:hAnsi="Garamond" w:cstheme="majorBidi"/>
          <w:sz w:val="26"/>
          <w:szCs w:val="26"/>
        </w:rPr>
        <w:t xml:space="preserve"> does not significantly influence the level of sharia financial literacy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2010-2015 in the phase quarterlife crisis.</w:t>
      </w:r>
    </w:p>
    <w:p w14:paraId="06EE6322"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Based on the data in the form of results from 94 samples, the average income </w:t>
      </w:r>
      <w:proofErr w:type="spellStart"/>
      <w:r w:rsidRPr="00D31548">
        <w:rPr>
          <w:rFonts w:ascii="Garamond" w:hAnsi="Garamond" w:cstheme="majorBidi"/>
          <w:sz w:val="26"/>
          <w:szCs w:val="26"/>
        </w:rPr>
        <w:t>permonth</w:t>
      </w:r>
      <w:proofErr w:type="spellEnd"/>
      <w:r w:rsidRPr="00D31548">
        <w:rPr>
          <w:rFonts w:ascii="Garamond" w:hAnsi="Garamond" w:cstheme="majorBidi"/>
          <w:sz w:val="26"/>
          <w:szCs w:val="26"/>
        </w:rPr>
        <w:t xml:space="preserve"> of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the period 2010 - 2015 is in the range of 1,000,000 - 3,000,000 rupiah, or according to the Central Kalimantan Provincial Minimum Wage (UMP) of Rp </w:t>
      </w:r>
      <w:proofErr w:type="gramStart"/>
      <w:r w:rsidRPr="00D31548">
        <w:rPr>
          <w:rFonts w:ascii="Garamond" w:hAnsi="Garamond" w:cstheme="majorBidi"/>
          <w:sz w:val="26"/>
          <w:szCs w:val="26"/>
        </w:rPr>
        <w:t>2,615,735 ,</w:t>
      </w:r>
      <w:proofErr w:type="gramEnd"/>
      <w:r w:rsidRPr="00D31548">
        <w:rPr>
          <w:rFonts w:ascii="Garamond" w:hAnsi="Garamond" w:cstheme="majorBidi"/>
          <w:sz w:val="26"/>
          <w:szCs w:val="26"/>
        </w:rPr>
        <w:t xml:space="preserve"> and Regency or City Minimum Wage, which is Rp 2,701,004, although there may still be some that are below the UMP or UMK because it says only the range.</w:t>
      </w:r>
    </w:p>
    <w:p w14:paraId="025DC4EE"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Speaking of income, in Indonesia itself has a different UMR in each region. UMR stands for Regional Minimum Wage, based on Minister of Manpower Regulation Number: PER 01/MEN/1999 regarding "Minimum Wages", UMR is the lowest monthly </w:t>
      </w:r>
      <w:r w:rsidRPr="00D31548">
        <w:rPr>
          <w:rFonts w:ascii="Garamond" w:hAnsi="Garamond" w:cstheme="majorBidi"/>
          <w:sz w:val="26"/>
          <w:szCs w:val="26"/>
        </w:rPr>
        <w:lastRenderedPageBreak/>
        <w:t>wage consisting of basic wages including fixed allowances that apply in one province. UMR has a great influence on the unemployment rate. For example, when the minimum wage in the capital city of Jakarta was raised from 2.2 million rupiah to 2.4 million rupiah, as a result employers or companies relocated to places with lower UMR levels to avoid rising labor costs. In microeconomics, opponents of minimum wages argue that minimum wages are not a solution to the fight against poverty. But it causes unemployment, many students drop out of school, workers become poorly trained. These findings contradict other studies which say that the higher a person's income, the higher the level of financial literacy he has.</w:t>
      </w:r>
    </w:p>
    <w:p w14:paraId="62588D11"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Research conducted by Antonia </w:t>
      </w:r>
      <w:proofErr w:type="spellStart"/>
      <w:r w:rsidRPr="00D31548">
        <w:rPr>
          <w:rFonts w:ascii="Garamond" w:hAnsi="Garamond" w:cstheme="majorBidi"/>
          <w:sz w:val="26"/>
          <w:szCs w:val="26"/>
        </w:rPr>
        <w:t>Grohmann</w:t>
      </w:r>
      <w:proofErr w:type="spellEnd"/>
      <w:r w:rsidRPr="00D31548">
        <w:rPr>
          <w:rFonts w:ascii="Garamond" w:hAnsi="Garamond" w:cstheme="majorBidi"/>
          <w:sz w:val="26"/>
          <w:szCs w:val="26"/>
        </w:rPr>
        <w:t xml:space="preserve"> found findings about high incomes for urban communities </w:t>
      </w:r>
      <w:proofErr w:type="gramStart"/>
      <w:r w:rsidRPr="00D31548">
        <w:rPr>
          <w:rFonts w:ascii="Garamond" w:hAnsi="Garamond" w:cstheme="majorBidi"/>
          <w:sz w:val="26"/>
          <w:szCs w:val="26"/>
        </w:rPr>
        <w:t>have an effect on</w:t>
      </w:r>
      <w:proofErr w:type="gramEnd"/>
      <w:r w:rsidRPr="00D31548">
        <w:rPr>
          <w:rFonts w:ascii="Garamond" w:hAnsi="Garamond" w:cstheme="majorBidi"/>
          <w:sz w:val="26"/>
          <w:szCs w:val="26"/>
        </w:rPr>
        <w:t xml:space="preserve"> financial literacy and financial decision making, in contrast to people in remote areas with income below the minimum wage have a low literacy level and tend to be afraid of taking financial risks, like investment and insurance. That is because the lack of socialization or equitable learning about financial literacy, understanding or training about financial literacy only occurs in big cities, does not spread to remote areas </w:t>
      </w:r>
      <w:sdt>
        <w:sdtPr>
          <w:rPr>
            <w:rFonts w:ascii="Garamond" w:hAnsi="Garamond" w:cstheme="majorBidi"/>
            <w:sz w:val="26"/>
            <w:szCs w:val="26"/>
          </w:rPr>
          <w:id w:val="1087885416"/>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Ant18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(Grohmann, 2018)</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7A289E44"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On the other hand, research conducted by Monica </w:t>
      </w:r>
      <w:proofErr w:type="spellStart"/>
      <w:r w:rsidRPr="00D31548">
        <w:rPr>
          <w:rFonts w:ascii="Garamond" w:hAnsi="Garamond" w:cstheme="majorBidi"/>
          <w:sz w:val="26"/>
          <w:szCs w:val="26"/>
        </w:rPr>
        <w:t>Paiella</w:t>
      </w:r>
      <w:proofErr w:type="spellEnd"/>
      <w:r w:rsidRPr="00D31548">
        <w:rPr>
          <w:rFonts w:ascii="Garamond" w:hAnsi="Garamond" w:cstheme="majorBidi"/>
          <w:sz w:val="26"/>
          <w:szCs w:val="26"/>
        </w:rPr>
        <w:t xml:space="preserve"> that said that a person's income has no effect on the level of financial literacy, especially for young people both high and low income, most of them have high expectations regarding financial planning and management but still lack of awareness in financial literacy due to lack of knowledge and socialization gained, not only in school or college, but also from the government. Young people's expectations are broken when they </w:t>
      </w:r>
      <w:proofErr w:type="gramStart"/>
      <w:r w:rsidRPr="00D31548">
        <w:rPr>
          <w:rFonts w:ascii="Garamond" w:hAnsi="Garamond" w:cstheme="majorBidi"/>
          <w:sz w:val="26"/>
          <w:szCs w:val="26"/>
        </w:rPr>
        <w:t>have to</w:t>
      </w:r>
      <w:proofErr w:type="gramEnd"/>
      <w:r w:rsidRPr="00D31548">
        <w:rPr>
          <w:rFonts w:ascii="Garamond" w:hAnsi="Garamond" w:cstheme="majorBidi"/>
          <w:sz w:val="26"/>
          <w:szCs w:val="26"/>
        </w:rPr>
        <w:t xml:space="preserve"> face directly how to plan and manage finances, someone tends to be shocked and this is what then becomes one of the causes of the emergence of the quarterlife crisis phenomenon </w:t>
      </w:r>
      <w:sdt>
        <w:sdtPr>
          <w:rPr>
            <w:rFonts w:ascii="Garamond" w:hAnsi="Garamond" w:cstheme="majorBidi"/>
            <w:i/>
            <w:sz w:val="26"/>
            <w:szCs w:val="26"/>
          </w:rPr>
          <w:id w:val="788631795"/>
          <w:citation/>
        </w:sdtPr>
        <w:sdtContent>
          <w:r w:rsidRPr="00D31548">
            <w:rPr>
              <w:rFonts w:ascii="Garamond" w:hAnsi="Garamond" w:cstheme="majorBidi"/>
              <w:i/>
              <w:sz w:val="26"/>
              <w:szCs w:val="26"/>
            </w:rPr>
            <w:fldChar w:fldCharType="begin"/>
          </w:r>
          <w:r w:rsidRPr="00D31548">
            <w:rPr>
              <w:rFonts w:ascii="Garamond" w:hAnsi="Garamond" w:cstheme="majorBidi"/>
              <w:i/>
              <w:sz w:val="26"/>
              <w:szCs w:val="26"/>
            </w:rPr>
            <w:instrText xml:space="preserve"> CITATION Mon15 \l 1033 </w:instrText>
          </w:r>
          <w:r w:rsidRPr="00D31548">
            <w:rPr>
              <w:rFonts w:ascii="Garamond" w:hAnsi="Garamond" w:cstheme="majorBidi"/>
              <w:i/>
              <w:sz w:val="26"/>
              <w:szCs w:val="26"/>
            </w:rPr>
            <w:fldChar w:fldCharType="separate"/>
          </w:r>
          <w:r w:rsidRPr="00D31548">
            <w:rPr>
              <w:rFonts w:ascii="Garamond" w:hAnsi="Garamond" w:cstheme="majorBidi"/>
              <w:noProof/>
              <w:sz w:val="26"/>
              <w:szCs w:val="26"/>
            </w:rPr>
            <w:t>(Paiella, 2015)</w:t>
          </w:r>
          <w:r w:rsidRPr="00D31548">
            <w:rPr>
              <w:rFonts w:ascii="Garamond" w:hAnsi="Garamond" w:cstheme="majorBidi"/>
              <w:i/>
              <w:sz w:val="26"/>
              <w:szCs w:val="26"/>
            </w:rPr>
            <w:fldChar w:fldCharType="end"/>
          </w:r>
        </w:sdtContent>
      </w:sdt>
      <w:r w:rsidRPr="00D31548">
        <w:rPr>
          <w:rFonts w:ascii="Garamond" w:hAnsi="Garamond" w:cstheme="majorBidi"/>
          <w:sz w:val="26"/>
          <w:szCs w:val="26"/>
        </w:rPr>
        <w:t xml:space="preserve">. Young people who have faced many surprises for the fact that is not in accordance with their expectations, plus found that their financial turmoil, making someone stressed and often lead to depression and suicide. This sounds terrible, but it </w:t>
      </w:r>
      <w:proofErr w:type="gramStart"/>
      <w:r w:rsidRPr="00D31548">
        <w:rPr>
          <w:rFonts w:ascii="Garamond" w:hAnsi="Garamond" w:cstheme="majorBidi"/>
          <w:sz w:val="26"/>
          <w:szCs w:val="26"/>
        </w:rPr>
        <w:t>actually happens</w:t>
      </w:r>
      <w:proofErr w:type="gramEnd"/>
      <w:r w:rsidRPr="00D31548">
        <w:rPr>
          <w:rFonts w:ascii="Garamond" w:hAnsi="Garamond" w:cstheme="majorBidi"/>
          <w:sz w:val="26"/>
          <w:szCs w:val="26"/>
        </w:rPr>
        <w:t>.</w:t>
      </w:r>
    </w:p>
    <w:p w14:paraId="034C866D"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results of this study are in line with the results of research conducted by Oscar </w:t>
      </w:r>
      <w:proofErr w:type="spellStart"/>
      <w:r w:rsidRPr="00D31548">
        <w:rPr>
          <w:rFonts w:ascii="Garamond" w:hAnsi="Garamond" w:cstheme="majorBidi"/>
          <w:sz w:val="26"/>
          <w:szCs w:val="26"/>
        </w:rPr>
        <w:t>Stolper</w:t>
      </w:r>
      <w:proofErr w:type="spellEnd"/>
      <w:r w:rsidRPr="00D31548">
        <w:rPr>
          <w:rFonts w:ascii="Garamond" w:hAnsi="Garamond" w:cstheme="majorBidi"/>
          <w:sz w:val="26"/>
          <w:szCs w:val="26"/>
        </w:rPr>
        <w:t xml:space="preserve"> that the income of a person and household does not affect the level of financial literacy, but it is the nature or personality of a person that determines, such as the desire to go to a financial advisor who comes from personal awareness where it depends on the environment social or household </w:t>
      </w:r>
      <w:sdt>
        <w:sdtPr>
          <w:rPr>
            <w:rFonts w:ascii="Garamond" w:hAnsi="Garamond" w:cstheme="majorBidi"/>
            <w:sz w:val="26"/>
            <w:szCs w:val="26"/>
          </w:rPr>
          <w:id w:val="-1296358664"/>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Osc17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(Stolper, 2017)</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29CDB07B"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Then, the results of in-depth interviews with the initials Ul, a private employee as well as a graduate student, stated that regardless of the amount of salary received, he was routine in recording and financial planning. Although not once a day, but once a month that is certain, because from childhood, his parents have taught how to manage finances, plus UI who currently works as a staff in the financial division. Based on his remarks, UI also has Islamic mutual funds and savings accounts in Islamic banks, although the salary </w:t>
      </w:r>
      <w:r w:rsidRPr="00D31548">
        <w:rPr>
          <w:rFonts w:ascii="Garamond" w:hAnsi="Garamond" w:cstheme="majorBidi"/>
          <w:sz w:val="26"/>
          <w:szCs w:val="26"/>
        </w:rPr>
        <w:lastRenderedPageBreak/>
        <w:t xml:space="preserve">is transferred using conventional banks, but in saving and borrowing, UI prefers Islamic banks as one of its efforts to avoid usury and speculation, as well as helping in grounding the Islamic economy in Indonesia </w:t>
      </w:r>
      <w:sdt>
        <w:sdtPr>
          <w:rPr>
            <w:rFonts w:ascii="Garamond" w:hAnsi="Garamond" w:cstheme="majorBidi"/>
            <w:sz w:val="26"/>
            <w:szCs w:val="26"/>
          </w:rPr>
          <w:id w:val="1370038892"/>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Ini193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(UI,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167B026B" w14:textId="781985C2" w:rsidR="00D31548" w:rsidRPr="00D31548"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This research is in line with what is said by Ba, saying that the size of the income he has does not affect his ability to manage finances, even though there is already awareness and desire, but all that is only imagined in his mind without direct and consistent realization. His skeptical mind on Islamic financial institutions is one of the factors that makes Ba reluctant to carefully and painstakingly study how funds plan and manage finances. According to him, maybe if he </w:t>
      </w:r>
      <w:proofErr w:type="gramStart"/>
      <w:r w:rsidRPr="00D31548">
        <w:rPr>
          <w:rFonts w:ascii="Garamond" w:hAnsi="Garamond" w:cstheme="majorBidi"/>
          <w:sz w:val="26"/>
          <w:szCs w:val="26"/>
        </w:rPr>
        <w:t>was</w:t>
      </w:r>
      <w:proofErr w:type="gramEnd"/>
      <w:r w:rsidRPr="00D31548">
        <w:rPr>
          <w:rFonts w:ascii="Garamond" w:hAnsi="Garamond" w:cstheme="majorBidi"/>
          <w:sz w:val="26"/>
          <w:szCs w:val="26"/>
        </w:rPr>
        <w:t xml:space="preserve"> married one day the story would be different </w:t>
      </w:r>
      <w:sdt>
        <w:sdtPr>
          <w:rPr>
            <w:rFonts w:ascii="Garamond" w:hAnsi="Garamond" w:cstheme="majorBidi"/>
            <w:sz w:val="26"/>
            <w:szCs w:val="26"/>
          </w:rPr>
          <w:id w:val="1528293655"/>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Ini191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(Ba,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08188D6E" w14:textId="77777777" w:rsidR="00D31548" w:rsidRPr="00D31548" w:rsidRDefault="00D31548" w:rsidP="00D31548">
      <w:pPr>
        <w:spacing w:line="276" w:lineRule="auto"/>
        <w:jc w:val="both"/>
        <w:rPr>
          <w:rFonts w:ascii="Garamond" w:hAnsi="Garamond" w:cstheme="majorBidi"/>
          <w:b/>
          <w:sz w:val="26"/>
          <w:szCs w:val="26"/>
        </w:rPr>
      </w:pPr>
      <w:r w:rsidRPr="00D31548">
        <w:rPr>
          <w:rFonts w:ascii="Garamond" w:hAnsi="Garamond" w:cstheme="majorBidi"/>
          <w:b/>
          <w:sz w:val="26"/>
          <w:szCs w:val="26"/>
        </w:rPr>
        <w:t>Sharia Financial Literacy Level</w:t>
      </w:r>
    </w:p>
    <w:p w14:paraId="30F65E2C"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level of awareness of Islamic financial literacy 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IAIN alumni in the period 2010 - 2015 in the quarterlife crisis phase when viewed from the results of the percentage formula index is 53 percent or in the neutral category. This can be a gift or a curse, a gift because another 7 percent can enter the good category, but it still needs 17 percent to reach the very good category. Can be a curse because 22 percent approach the category is not good.</w:t>
      </w:r>
    </w:p>
    <w:p w14:paraId="76879413"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From the results of the questionnaire, the average finding obstacles in knowing and understanding investment and insurance items. The results of this study are in line with research conducted by Gina Sakinah and </w:t>
      </w:r>
      <w:proofErr w:type="spellStart"/>
      <w:r w:rsidRPr="00D31548">
        <w:rPr>
          <w:rFonts w:ascii="Garamond" w:hAnsi="Garamond" w:cstheme="majorBidi"/>
          <w:sz w:val="26"/>
          <w:szCs w:val="26"/>
        </w:rPr>
        <w:t>Bagio</w:t>
      </w:r>
      <w:proofErr w:type="spellEnd"/>
      <w:r w:rsidRPr="00D31548">
        <w:rPr>
          <w:rFonts w:ascii="Garamond" w:hAnsi="Garamond" w:cstheme="majorBidi"/>
          <w:sz w:val="26"/>
          <w:szCs w:val="26"/>
        </w:rPr>
        <w:t xml:space="preserve"> </w:t>
      </w:r>
      <w:proofErr w:type="spellStart"/>
      <w:r w:rsidRPr="00D31548">
        <w:rPr>
          <w:rFonts w:ascii="Garamond" w:hAnsi="Garamond" w:cstheme="majorBidi"/>
          <w:sz w:val="26"/>
          <w:szCs w:val="26"/>
        </w:rPr>
        <w:t>Mudakir</w:t>
      </w:r>
      <w:proofErr w:type="spellEnd"/>
      <w:r w:rsidRPr="00D31548">
        <w:rPr>
          <w:rFonts w:ascii="Garamond" w:hAnsi="Garamond" w:cstheme="majorBidi"/>
          <w:sz w:val="26"/>
          <w:szCs w:val="26"/>
        </w:rPr>
        <w:t xml:space="preserve"> who conducted research on undergraduate students at </w:t>
      </w:r>
      <w:proofErr w:type="spellStart"/>
      <w:r w:rsidRPr="00D31548">
        <w:rPr>
          <w:rFonts w:ascii="Garamond" w:hAnsi="Garamond" w:cstheme="majorBidi"/>
          <w:sz w:val="26"/>
          <w:szCs w:val="26"/>
        </w:rPr>
        <w:t>Diponegoro</w:t>
      </w:r>
      <w:proofErr w:type="spellEnd"/>
      <w:r w:rsidRPr="00D31548">
        <w:rPr>
          <w:rFonts w:ascii="Garamond" w:hAnsi="Garamond" w:cstheme="majorBidi"/>
          <w:sz w:val="26"/>
          <w:szCs w:val="26"/>
        </w:rPr>
        <w:t xml:space="preserve"> University, Faculty of Economics and Business, said that although students have an economic education background, it does not directly affect their ability to recognize and understand investment and insurance, especially investment and insurance in Sharia </w:t>
      </w:r>
      <w:sdt>
        <w:sdtPr>
          <w:rPr>
            <w:rFonts w:ascii="Garamond" w:hAnsi="Garamond" w:cstheme="majorBidi"/>
            <w:sz w:val="26"/>
            <w:szCs w:val="26"/>
          </w:rPr>
          <w:id w:val="232747364"/>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Gin18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(Sakinah &amp; Mudakir, 2018)</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4A4891CA"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On the same side, the study said that the CPI and parents' income significantly influence the level of sharia financial literacy. This is in line with this research which shows that marital status influences the level of awareness of Islamic financial literacy in </w:t>
      </w:r>
      <w:proofErr w:type="spellStart"/>
      <w:r w:rsidRPr="00D31548">
        <w:rPr>
          <w:rFonts w:ascii="Garamond" w:hAnsi="Garamond" w:cstheme="majorBidi"/>
          <w:sz w:val="26"/>
          <w:szCs w:val="26"/>
        </w:rPr>
        <w:t>Palangka</w:t>
      </w:r>
      <w:proofErr w:type="spellEnd"/>
      <w:r w:rsidRPr="00D31548">
        <w:rPr>
          <w:rFonts w:ascii="Garamond" w:hAnsi="Garamond" w:cstheme="majorBidi"/>
          <w:sz w:val="26"/>
          <w:szCs w:val="26"/>
        </w:rPr>
        <w:t xml:space="preserve"> Raya alumni of the 2010-2015 period in the quarterlife crisis phase. Including respondents' answers in discussing the level of sharia financial literacy on gender, income per month and marital status which could be considered as neutral, because there are those who are used to managing, </w:t>
      </w:r>
      <w:proofErr w:type="gramStart"/>
      <w:r w:rsidRPr="00D31548">
        <w:rPr>
          <w:rFonts w:ascii="Garamond" w:hAnsi="Garamond" w:cstheme="majorBidi"/>
          <w:sz w:val="26"/>
          <w:szCs w:val="26"/>
        </w:rPr>
        <w:t>planning</w:t>
      </w:r>
      <w:proofErr w:type="gramEnd"/>
      <w:r w:rsidRPr="00D31548">
        <w:rPr>
          <w:rFonts w:ascii="Garamond" w:hAnsi="Garamond" w:cstheme="majorBidi"/>
          <w:sz w:val="26"/>
          <w:szCs w:val="26"/>
        </w:rPr>
        <w:t xml:space="preserve"> and managing their finances at Islamic financial institutions such as UI, some are still reluctant to aware and understand the sharia financial literacy like Ba.</w:t>
      </w:r>
    </w:p>
    <w:p w14:paraId="5D0DDA02"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This is in line with what was recently reported that according to the Financial Services Authority (OJK) assesses that the current young generation still has little understanding of finance or financial literacy. "Only 64.2 percent of students use financial products and services, but only 23.4 percent of students have the knowledge, skills or beliefs and even financial attitudes and behaviors," </w:t>
      </w:r>
      <w:proofErr w:type="spellStart"/>
      <w:r w:rsidRPr="00D31548">
        <w:rPr>
          <w:rFonts w:ascii="Garamond" w:hAnsi="Garamond" w:cstheme="majorBidi"/>
          <w:sz w:val="26"/>
          <w:szCs w:val="26"/>
        </w:rPr>
        <w:t>Tirta</w:t>
      </w:r>
      <w:proofErr w:type="spellEnd"/>
      <w:r w:rsidRPr="00D31548">
        <w:rPr>
          <w:rFonts w:ascii="Garamond" w:hAnsi="Garamond" w:cstheme="majorBidi"/>
          <w:sz w:val="26"/>
          <w:szCs w:val="26"/>
        </w:rPr>
        <w:t xml:space="preserve"> said in Menara Radius </w:t>
      </w:r>
      <w:proofErr w:type="spellStart"/>
      <w:r w:rsidRPr="00D31548">
        <w:rPr>
          <w:rFonts w:ascii="Garamond" w:hAnsi="Garamond" w:cstheme="majorBidi"/>
          <w:sz w:val="26"/>
          <w:szCs w:val="26"/>
        </w:rPr>
        <w:t>Prawiro</w:t>
      </w:r>
      <w:proofErr w:type="spellEnd"/>
      <w:r w:rsidRPr="00D31548">
        <w:rPr>
          <w:rFonts w:ascii="Garamond" w:hAnsi="Garamond" w:cstheme="majorBidi"/>
          <w:sz w:val="26"/>
          <w:szCs w:val="26"/>
        </w:rPr>
        <w:t xml:space="preserve">. </w:t>
      </w:r>
      <w:r w:rsidRPr="00D31548">
        <w:rPr>
          <w:rFonts w:ascii="Garamond" w:hAnsi="Garamond" w:cstheme="majorBidi"/>
          <w:sz w:val="26"/>
          <w:szCs w:val="26"/>
        </w:rPr>
        <w:lastRenderedPageBreak/>
        <w:t xml:space="preserve">Mr. </w:t>
      </w:r>
      <w:proofErr w:type="spellStart"/>
      <w:r w:rsidRPr="00D31548">
        <w:rPr>
          <w:rFonts w:ascii="Garamond" w:hAnsi="Garamond" w:cstheme="majorBidi"/>
          <w:sz w:val="26"/>
          <w:szCs w:val="26"/>
        </w:rPr>
        <w:t>Tirta</w:t>
      </w:r>
      <w:proofErr w:type="spellEnd"/>
      <w:r w:rsidRPr="00D31548">
        <w:rPr>
          <w:rFonts w:ascii="Garamond" w:hAnsi="Garamond" w:cstheme="majorBidi"/>
          <w:sz w:val="26"/>
          <w:szCs w:val="26"/>
        </w:rPr>
        <w:t xml:space="preserve"> explained, young people are currently at risk of financial problems because they are not equipped with financial literacy. He further explained that young people with the status of students and students tend to have access to financial products offered, but they still have little understanding </w:t>
      </w:r>
      <w:sdt>
        <w:sdtPr>
          <w:rPr>
            <w:rFonts w:ascii="Garamond" w:hAnsi="Garamond" w:cstheme="majorBidi"/>
            <w:sz w:val="26"/>
            <w:szCs w:val="26"/>
          </w:rPr>
          <w:id w:val="1113481165"/>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Lip19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(Liputan6, 2019)</w:t>
          </w:r>
          <w:r w:rsidRPr="00D31548">
            <w:rPr>
              <w:rFonts w:ascii="Garamond" w:hAnsi="Garamond" w:cstheme="majorBidi"/>
              <w:sz w:val="26"/>
              <w:szCs w:val="26"/>
            </w:rPr>
            <w:fldChar w:fldCharType="end"/>
          </w:r>
        </w:sdtContent>
      </w:sdt>
      <w:r w:rsidRPr="00D31548">
        <w:rPr>
          <w:rFonts w:ascii="Garamond" w:hAnsi="Garamond" w:cstheme="majorBidi"/>
          <w:sz w:val="26"/>
          <w:szCs w:val="26"/>
        </w:rPr>
        <w:t>.</w:t>
      </w:r>
    </w:p>
    <w:p w14:paraId="77716094"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The age of quarterlife is close to millennial generation. A leader of a private multimedia company, Mr. Andy </w:t>
      </w:r>
      <w:proofErr w:type="spellStart"/>
      <w:r w:rsidRPr="00D31548">
        <w:rPr>
          <w:rFonts w:ascii="Garamond" w:hAnsi="Garamond" w:cstheme="majorBidi"/>
          <w:sz w:val="26"/>
          <w:szCs w:val="26"/>
        </w:rPr>
        <w:t>Nahil</w:t>
      </w:r>
      <w:proofErr w:type="spellEnd"/>
      <w:r w:rsidRPr="00D31548">
        <w:rPr>
          <w:rFonts w:ascii="Garamond" w:hAnsi="Garamond" w:cstheme="majorBidi"/>
          <w:sz w:val="26"/>
          <w:szCs w:val="26"/>
        </w:rPr>
        <w:t xml:space="preserve"> </w:t>
      </w:r>
      <w:proofErr w:type="spellStart"/>
      <w:r w:rsidRPr="00D31548">
        <w:rPr>
          <w:rFonts w:ascii="Garamond" w:hAnsi="Garamond" w:cstheme="majorBidi"/>
          <w:sz w:val="26"/>
          <w:szCs w:val="26"/>
        </w:rPr>
        <w:t>Gultom</w:t>
      </w:r>
      <w:proofErr w:type="spellEnd"/>
      <w:r w:rsidRPr="00D31548">
        <w:rPr>
          <w:rFonts w:ascii="Garamond" w:hAnsi="Garamond" w:cstheme="majorBidi"/>
          <w:sz w:val="26"/>
          <w:szCs w:val="26"/>
        </w:rPr>
        <w:t xml:space="preserve"> considers that finance is very important for the younger generation, especially millennials. He explained that the discussion of financial services is indeed very broad, but the most important thing to give to young people today is financial literacy. So that they can later plan or manage their finances, because the millennial generation of the productive middle class is always faced with a consumptive lifestyle so that a good understanding of finance is needed </w:t>
      </w:r>
      <w:sdt>
        <w:sdtPr>
          <w:rPr>
            <w:rFonts w:ascii="Garamond" w:hAnsi="Garamond" w:cstheme="majorBidi"/>
            <w:color w:val="000000"/>
            <w:sz w:val="26"/>
            <w:szCs w:val="26"/>
          </w:rPr>
          <w:id w:val="1597133040"/>
          <w:citation/>
        </w:sdtPr>
        <w:sdtContent>
          <w:r w:rsidRPr="00D31548">
            <w:rPr>
              <w:rFonts w:ascii="Garamond" w:hAnsi="Garamond" w:cstheme="majorBidi"/>
              <w:color w:val="000000"/>
              <w:sz w:val="26"/>
              <w:szCs w:val="26"/>
            </w:rPr>
            <w:fldChar w:fldCharType="begin"/>
          </w:r>
          <w:r w:rsidRPr="00D31548">
            <w:rPr>
              <w:rFonts w:ascii="Garamond" w:hAnsi="Garamond" w:cstheme="majorBidi"/>
              <w:color w:val="000000"/>
              <w:sz w:val="26"/>
              <w:szCs w:val="26"/>
            </w:rPr>
            <w:instrText xml:space="preserve"> CITATION Kom19 \l 1033 </w:instrText>
          </w:r>
          <w:r w:rsidRPr="00D31548">
            <w:rPr>
              <w:rFonts w:ascii="Garamond" w:hAnsi="Garamond" w:cstheme="majorBidi"/>
              <w:color w:val="000000"/>
              <w:sz w:val="26"/>
              <w:szCs w:val="26"/>
            </w:rPr>
            <w:fldChar w:fldCharType="separate"/>
          </w:r>
          <w:r w:rsidRPr="00D31548">
            <w:rPr>
              <w:rFonts w:ascii="Garamond" w:hAnsi="Garamond" w:cstheme="majorBidi"/>
              <w:noProof/>
              <w:color w:val="000000"/>
              <w:sz w:val="26"/>
              <w:szCs w:val="26"/>
            </w:rPr>
            <w:t>(Kompas, 2019)</w:t>
          </w:r>
          <w:r w:rsidRPr="00D31548">
            <w:rPr>
              <w:rFonts w:ascii="Garamond" w:hAnsi="Garamond" w:cstheme="majorBidi"/>
              <w:color w:val="000000"/>
              <w:sz w:val="26"/>
              <w:szCs w:val="26"/>
            </w:rPr>
            <w:fldChar w:fldCharType="end"/>
          </w:r>
        </w:sdtContent>
      </w:sdt>
      <w:r w:rsidRPr="00D31548">
        <w:rPr>
          <w:rFonts w:ascii="Garamond" w:hAnsi="Garamond" w:cstheme="majorBidi"/>
          <w:color w:val="000000"/>
          <w:sz w:val="26"/>
          <w:szCs w:val="26"/>
        </w:rPr>
        <w:t>.</w:t>
      </w:r>
    </w:p>
    <w:p w14:paraId="53931682" w14:textId="77777777" w:rsidR="00D31548" w:rsidRPr="00D31548" w:rsidRDefault="00D31548" w:rsidP="00D31548">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Financial intelligence is one intelligence that must be possessed by everyone. Therefore, financial education should have been done early. For example, students, since they first enrolled in college and then became a student, not many of them are able to plan and manage their finances for at least one month, starting from the beginning of the month. So often we hear a lot of students who are upset at the end of the </w:t>
      </w:r>
      <w:proofErr w:type="gramStart"/>
      <w:r w:rsidRPr="00D31548">
        <w:rPr>
          <w:rFonts w:ascii="Garamond" w:hAnsi="Garamond" w:cstheme="majorBidi"/>
          <w:sz w:val="26"/>
          <w:szCs w:val="26"/>
        </w:rPr>
        <w:t>month, and</w:t>
      </w:r>
      <w:proofErr w:type="gramEnd"/>
      <w:r w:rsidRPr="00D31548">
        <w:rPr>
          <w:rFonts w:ascii="Garamond" w:hAnsi="Garamond" w:cstheme="majorBidi"/>
          <w:sz w:val="26"/>
          <w:szCs w:val="26"/>
        </w:rPr>
        <w:t xml:space="preserve"> choose to remain silent in their boarding house so they don't spend a lot of money. This is one proof that the level of public understanding of financial literacy is still low. It is not accompanied by financial education that goes hand in hand. </w:t>
      </w:r>
      <w:r w:rsidRPr="00D31548">
        <w:rPr>
          <w:rFonts w:ascii="Garamond" w:hAnsi="Garamond" w:cstheme="majorBidi"/>
          <w:color w:val="000000"/>
          <w:sz w:val="26"/>
          <w:szCs w:val="26"/>
        </w:rPr>
        <w:t xml:space="preserve">This research can be a reflection and benchmark especially for IAIN </w:t>
      </w:r>
      <w:proofErr w:type="spellStart"/>
      <w:r w:rsidRPr="00D31548">
        <w:rPr>
          <w:rFonts w:ascii="Garamond" w:hAnsi="Garamond" w:cstheme="majorBidi"/>
          <w:color w:val="000000"/>
          <w:sz w:val="26"/>
          <w:szCs w:val="26"/>
        </w:rPr>
        <w:t>Palangka</w:t>
      </w:r>
      <w:proofErr w:type="spellEnd"/>
      <w:r w:rsidRPr="00D31548">
        <w:rPr>
          <w:rFonts w:ascii="Garamond" w:hAnsi="Garamond" w:cstheme="majorBidi"/>
          <w:color w:val="000000"/>
          <w:sz w:val="26"/>
          <w:szCs w:val="26"/>
        </w:rPr>
        <w:t xml:space="preserve"> Raya in terms of Islamic financial literacy. IAIN </w:t>
      </w:r>
      <w:proofErr w:type="spellStart"/>
      <w:r w:rsidRPr="00D31548">
        <w:rPr>
          <w:rFonts w:ascii="Garamond" w:hAnsi="Garamond" w:cstheme="majorBidi"/>
          <w:color w:val="000000"/>
          <w:sz w:val="26"/>
          <w:szCs w:val="26"/>
        </w:rPr>
        <w:t>Palangka</w:t>
      </w:r>
      <w:proofErr w:type="spellEnd"/>
      <w:r w:rsidRPr="00D31548">
        <w:rPr>
          <w:rFonts w:ascii="Garamond" w:hAnsi="Garamond" w:cstheme="majorBidi"/>
          <w:color w:val="000000"/>
          <w:sz w:val="26"/>
          <w:szCs w:val="26"/>
        </w:rPr>
        <w:t xml:space="preserve"> Raya can become a pioneer in the development of Islamic financial literacy in Indonesia through ongoing training or workshops for students, so that when they become </w:t>
      </w:r>
      <w:proofErr w:type="gramStart"/>
      <w:r w:rsidRPr="00D31548">
        <w:rPr>
          <w:rFonts w:ascii="Garamond" w:hAnsi="Garamond" w:cstheme="majorBidi"/>
          <w:color w:val="000000"/>
          <w:sz w:val="26"/>
          <w:szCs w:val="26"/>
        </w:rPr>
        <w:t>alumni</w:t>
      </w:r>
      <w:proofErr w:type="gramEnd"/>
      <w:r w:rsidRPr="00D31548">
        <w:rPr>
          <w:rFonts w:ascii="Garamond" w:hAnsi="Garamond" w:cstheme="majorBidi"/>
          <w:color w:val="000000"/>
          <w:sz w:val="26"/>
          <w:szCs w:val="26"/>
        </w:rPr>
        <w:t xml:space="preserve"> they can become resilient alumni in the quarterlife crisis phenomenon.</w:t>
      </w:r>
    </w:p>
    <w:p w14:paraId="66F1A3EE" w14:textId="129E66B1" w:rsidR="005B597C" w:rsidRDefault="00D31548" w:rsidP="00F36D3A">
      <w:pPr>
        <w:spacing w:line="276" w:lineRule="auto"/>
        <w:ind w:firstLine="720"/>
        <w:jc w:val="both"/>
        <w:rPr>
          <w:rFonts w:ascii="Garamond" w:hAnsi="Garamond" w:cstheme="majorBidi"/>
          <w:sz w:val="26"/>
          <w:szCs w:val="26"/>
        </w:rPr>
      </w:pPr>
      <w:r w:rsidRPr="00D31548">
        <w:rPr>
          <w:rFonts w:ascii="Garamond" w:hAnsi="Garamond" w:cstheme="majorBidi"/>
          <w:sz w:val="26"/>
          <w:szCs w:val="26"/>
        </w:rPr>
        <w:t xml:space="preserve">Generally, Indonesia which in the scope of Southeast Asia </w:t>
      </w:r>
      <w:proofErr w:type="gramStart"/>
      <w:r w:rsidRPr="00D31548">
        <w:rPr>
          <w:rFonts w:ascii="Garamond" w:hAnsi="Garamond" w:cstheme="majorBidi"/>
          <w:sz w:val="26"/>
          <w:szCs w:val="26"/>
        </w:rPr>
        <w:t>lags behind</w:t>
      </w:r>
      <w:proofErr w:type="gramEnd"/>
      <w:r w:rsidRPr="00D31548">
        <w:rPr>
          <w:rFonts w:ascii="Garamond" w:hAnsi="Garamond" w:cstheme="majorBidi"/>
          <w:sz w:val="26"/>
          <w:szCs w:val="26"/>
        </w:rPr>
        <w:t xml:space="preserve"> Malaysia. Even though the level of saving at a macro level in Indonesia ranks in the top 20, Finland also lags far behind in the 82nd figure worldwide. But the level of happiness of Finland is in the first position in the world, while Indonesia is far in the 96th position. That is once again why, this research is useful as the next regeneration for the development of financial literacy </w:t>
      </w:r>
      <w:sdt>
        <w:sdtPr>
          <w:rPr>
            <w:rFonts w:ascii="Garamond" w:hAnsi="Garamond" w:cstheme="majorBidi"/>
            <w:sz w:val="26"/>
            <w:szCs w:val="26"/>
          </w:rPr>
          <w:id w:val="-382099957"/>
          <w:citation/>
        </w:sdtPr>
        <w:sdtContent>
          <w:r w:rsidRPr="00D31548">
            <w:rPr>
              <w:rFonts w:ascii="Garamond" w:hAnsi="Garamond" w:cstheme="majorBidi"/>
              <w:sz w:val="26"/>
              <w:szCs w:val="26"/>
            </w:rPr>
            <w:fldChar w:fldCharType="begin"/>
          </w:r>
          <w:r w:rsidRPr="00D31548">
            <w:rPr>
              <w:rFonts w:ascii="Garamond" w:hAnsi="Garamond" w:cstheme="majorBidi"/>
              <w:sz w:val="26"/>
              <w:szCs w:val="26"/>
            </w:rPr>
            <w:instrText xml:space="preserve"> CITATION Fin19 \l 1033 </w:instrText>
          </w:r>
          <w:r w:rsidRPr="00D31548">
            <w:rPr>
              <w:rFonts w:ascii="Garamond" w:hAnsi="Garamond" w:cstheme="majorBidi"/>
              <w:sz w:val="26"/>
              <w:szCs w:val="26"/>
            </w:rPr>
            <w:fldChar w:fldCharType="separate"/>
          </w:r>
          <w:r w:rsidRPr="00D31548">
            <w:rPr>
              <w:rFonts w:ascii="Garamond" w:hAnsi="Garamond" w:cstheme="majorBidi"/>
              <w:noProof/>
              <w:sz w:val="26"/>
              <w:szCs w:val="26"/>
            </w:rPr>
            <w:t>(Finlit, 2019)</w:t>
          </w:r>
          <w:r w:rsidRPr="00D31548">
            <w:rPr>
              <w:rFonts w:ascii="Garamond" w:hAnsi="Garamond" w:cstheme="majorBidi"/>
              <w:sz w:val="26"/>
              <w:szCs w:val="26"/>
            </w:rPr>
            <w:fldChar w:fldCharType="end"/>
          </w:r>
        </w:sdtContent>
      </w:sdt>
      <w:r w:rsidRPr="00D31548">
        <w:rPr>
          <w:rFonts w:ascii="Garamond" w:hAnsi="Garamond" w:cstheme="majorBidi"/>
          <w:sz w:val="26"/>
          <w:szCs w:val="26"/>
        </w:rPr>
        <w:t xml:space="preserve">.  </w:t>
      </w:r>
    </w:p>
    <w:p w14:paraId="61D65CAE" w14:textId="77777777" w:rsidR="00F36D3A" w:rsidRPr="00F36D3A" w:rsidRDefault="00F36D3A" w:rsidP="00F36D3A">
      <w:pPr>
        <w:spacing w:line="276" w:lineRule="auto"/>
        <w:ind w:firstLine="720"/>
        <w:jc w:val="both"/>
        <w:rPr>
          <w:rFonts w:ascii="Garamond" w:hAnsi="Garamond" w:cstheme="majorBidi"/>
          <w:sz w:val="26"/>
          <w:szCs w:val="26"/>
        </w:rPr>
      </w:pPr>
    </w:p>
    <w:p w14:paraId="5F2AE149" w14:textId="29EE4B76" w:rsidR="005B597C" w:rsidRPr="005B597C" w:rsidRDefault="00F36D3A" w:rsidP="005B597C">
      <w:pPr>
        <w:pStyle w:val="Heading1"/>
        <w:ind w:right="556"/>
        <w:rPr>
          <w:rFonts w:ascii="Segoe UI" w:hAnsi="Segoe UI"/>
          <w:b/>
          <w:bCs/>
          <w:sz w:val="26"/>
          <w:szCs w:val="26"/>
          <w:lang w:val="id-ID"/>
        </w:rPr>
      </w:pPr>
      <w:r>
        <w:rPr>
          <w:rFonts w:ascii="Segoe UI" w:hAnsi="Segoe UI"/>
          <w:b/>
          <w:bCs/>
          <w:sz w:val="26"/>
          <w:szCs w:val="26"/>
        </w:rPr>
        <w:t>Conclusion</w:t>
      </w:r>
      <w:r w:rsidR="005B597C" w:rsidRPr="005B597C">
        <w:rPr>
          <w:rFonts w:ascii="Segoe UI" w:hAnsi="Segoe UI"/>
          <w:b/>
          <w:bCs/>
          <w:sz w:val="26"/>
          <w:szCs w:val="26"/>
          <w:lang w:val="id-ID"/>
        </w:rPr>
        <w:t xml:space="preserve"> </w:t>
      </w:r>
    </w:p>
    <w:p w14:paraId="281B1222" w14:textId="77777777" w:rsidR="00F36D3A" w:rsidRPr="00F36D3A" w:rsidRDefault="00F36D3A" w:rsidP="00F36D3A">
      <w:pPr>
        <w:spacing w:line="276" w:lineRule="auto"/>
        <w:ind w:firstLine="709"/>
        <w:jc w:val="both"/>
        <w:rPr>
          <w:rFonts w:ascii="Garamond" w:hAnsi="Garamond" w:cstheme="majorBidi"/>
          <w:sz w:val="26"/>
          <w:szCs w:val="26"/>
        </w:rPr>
      </w:pPr>
      <w:r w:rsidRPr="00F36D3A">
        <w:rPr>
          <w:rFonts w:ascii="Garamond" w:hAnsi="Garamond" w:cstheme="majorBidi"/>
          <w:sz w:val="26"/>
          <w:szCs w:val="26"/>
        </w:rPr>
        <w:t>From the findings and discussion and in answering the formulation of the existing problems, the following conclusions can be drawn:</w:t>
      </w:r>
    </w:p>
    <w:p w14:paraId="319371A0"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The level of awareness of Islamic financial literacy in IAIN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alumni during the period 2010 - 2015 in the quarterlife crisis phase was in the neutral category of 53 percent.</w:t>
      </w:r>
    </w:p>
    <w:p w14:paraId="007AE7B6"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lastRenderedPageBreak/>
        <w:t xml:space="preserve">Gender does not affect the level of awareness of Islamic financial literacy 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IAIN alumni from the period 2010 - 2015 in the quarterlife crisis phase.</w:t>
      </w:r>
    </w:p>
    <w:p w14:paraId="0617E9C4"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Income </w:t>
      </w:r>
      <w:proofErr w:type="spellStart"/>
      <w:r w:rsidRPr="00F36D3A">
        <w:rPr>
          <w:rFonts w:ascii="Garamond" w:hAnsi="Garamond" w:cstheme="majorBidi"/>
          <w:sz w:val="26"/>
          <w:szCs w:val="26"/>
        </w:rPr>
        <w:t>permonth</w:t>
      </w:r>
      <w:proofErr w:type="spellEnd"/>
      <w:r w:rsidRPr="00F36D3A">
        <w:rPr>
          <w:rFonts w:ascii="Garamond" w:hAnsi="Garamond" w:cstheme="majorBidi"/>
          <w:sz w:val="26"/>
          <w:szCs w:val="26"/>
        </w:rPr>
        <w:t xml:space="preserve"> does not affect the level of awareness of Islamic financial literacy in IAIN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alumni during the period 2010 - 2015 in the quarterlife crisis phase.</w:t>
      </w:r>
    </w:p>
    <w:p w14:paraId="5E6FC3F7"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Marital status influences the level of awareness of Islamic financial literacy in IAIN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alumni from 2010-2015 in the quarterlife crisis phase.</w:t>
      </w:r>
    </w:p>
    <w:p w14:paraId="00BDD62D"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There is no significant effect between gender with the level of financial literacy of IAIN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alumni in the period 2010 - 2015, where the number sig. amounted to 0.677&gt; 0.05.</w:t>
      </w:r>
    </w:p>
    <w:p w14:paraId="0DCE1EBE"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There is a significant influence between marital status and the level of financial literacy of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IAIN alumni in the 2010-2015 period, where the number sig. of 0.03&gt; 0.05.</w:t>
      </w:r>
    </w:p>
    <w:p w14:paraId="377E20D0" w14:textId="77777777" w:rsidR="00F36D3A" w:rsidRPr="00F36D3A" w:rsidRDefault="00F36D3A" w:rsidP="00F36D3A">
      <w:pPr>
        <w:pStyle w:val="ListParagraph"/>
        <w:numPr>
          <w:ilvl w:val="0"/>
          <w:numId w:val="12"/>
        </w:numPr>
        <w:spacing w:after="0"/>
        <w:ind w:left="284" w:hanging="284"/>
        <w:jc w:val="both"/>
        <w:rPr>
          <w:rFonts w:ascii="Garamond" w:hAnsi="Garamond" w:cstheme="majorBidi"/>
          <w:sz w:val="26"/>
          <w:szCs w:val="26"/>
        </w:rPr>
      </w:pPr>
      <w:r w:rsidRPr="00F36D3A">
        <w:rPr>
          <w:rFonts w:ascii="Garamond" w:hAnsi="Garamond" w:cstheme="majorBidi"/>
          <w:sz w:val="26"/>
          <w:szCs w:val="26"/>
        </w:rPr>
        <w:t xml:space="preserve">There is no significant effect between income </w:t>
      </w:r>
      <w:proofErr w:type="spellStart"/>
      <w:r w:rsidRPr="00F36D3A">
        <w:rPr>
          <w:rFonts w:ascii="Garamond" w:hAnsi="Garamond" w:cstheme="majorBidi"/>
          <w:sz w:val="26"/>
          <w:szCs w:val="26"/>
        </w:rPr>
        <w:t>permonth</w:t>
      </w:r>
      <w:proofErr w:type="spellEnd"/>
      <w:r w:rsidRPr="00F36D3A">
        <w:rPr>
          <w:rFonts w:ascii="Garamond" w:hAnsi="Garamond" w:cstheme="majorBidi"/>
          <w:sz w:val="26"/>
          <w:szCs w:val="26"/>
        </w:rPr>
        <w:t xml:space="preserve"> and the level of financial literacy of IAIN </w:t>
      </w:r>
      <w:proofErr w:type="spellStart"/>
      <w:r w:rsidRPr="00F36D3A">
        <w:rPr>
          <w:rFonts w:ascii="Garamond" w:hAnsi="Garamond" w:cstheme="majorBidi"/>
          <w:sz w:val="26"/>
          <w:szCs w:val="26"/>
        </w:rPr>
        <w:t>Palangka</w:t>
      </w:r>
      <w:proofErr w:type="spellEnd"/>
      <w:r w:rsidRPr="00F36D3A">
        <w:rPr>
          <w:rFonts w:ascii="Garamond" w:hAnsi="Garamond" w:cstheme="majorBidi"/>
          <w:sz w:val="26"/>
          <w:szCs w:val="26"/>
        </w:rPr>
        <w:t xml:space="preserve"> Raya alumni in the period 2010 - 2015, where the number sig. amounted to 0.606&gt; 0.05.</w:t>
      </w:r>
    </w:p>
    <w:p w14:paraId="544658D8" w14:textId="6340C905" w:rsidR="00F36D3A" w:rsidRDefault="00F36D3A" w:rsidP="001960C6">
      <w:pPr>
        <w:spacing w:after="4" w:line="249" w:lineRule="auto"/>
        <w:ind w:left="-5" w:hanging="10"/>
        <w:jc w:val="both"/>
        <w:rPr>
          <w:rFonts w:ascii="Garamond" w:hAnsi="Garamond"/>
          <w:sz w:val="26"/>
          <w:szCs w:val="26"/>
        </w:rPr>
      </w:pPr>
    </w:p>
    <w:p w14:paraId="476CBF40" w14:textId="77777777" w:rsidR="00F36D3A" w:rsidRPr="00F36D3A" w:rsidRDefault="00F36D3A" w:rsidP="001960C6">
      <w:pPr>
        <w:spacing w:after="4" w:line="249" w:lineRule="auto"/>
        <w:ind w:left="-5" w:hanging="10"/>
        <w:jc w:val="both"/>
        <w:rPr>
          <w:rFonts w:ascii="Garamond" w:hAnsi="Garamond"/>
          <w:sz w:val="26"/>
          <w:szCs w:val="26"/>
        </w:rPr>
      </w:pPr>
    </w:p>
    <w:bookmarkEnd w:id="0"/>
    <w:p w14:paraId="3F902BE6" w14:textId="3652CA10" w:rsidR="00E710A6" w:rsidRPr="005B597C" w:rsidRDefault="00F36D3A" w:rsidP="00F36D3A">
      <w:pPr>
        <w:pStyle w:val="Heading1"/>
        <w:spacing w:before="120" w:after="240" w:line="276" w:lineRule="auto"/>
        <w:ind w:left="0" w:right="556" w:firstLine="0"/>
        <w:rPr>
          <w:rFonts w:ascii="Segoe UI" w:hAnsi="Segoe UI"/>
          <w:b/>
          <w:bCs/>
          <w:sz w:val="26"/>
          <w:szCs w:val="26"/>
          <w:lang w:val="id-ID"/>
        </w:rPr>
      </w:pPr>
      <w:r>
        <w:rPr>
          <w:rFonts w:ascii="Segoe UI" w:hAnsi="Segoe UI"/>
          <w:b/>
          <w:bCs/>
          <w:sz w:val="26"/>
          <w:szCs w:val="26"/>
        </w:rPr>
        <w:t>Reference</w:t>
      </w:r>
      <w:r w:rsidR="00E710A6">
        <w:rPr>
          <w:rFonts w:ascii="Garamond" w:hAnsi="Garamond" w:cstheme="majorBidi"/>
          <w:b/>
          <w:bCs/>
          <w:sz w:val="26"/>
          <w:szCs w:val="26"/>
        </w:rPr>
        <w:t xml:space="preserve"> </w:t>
      </w:r>
    </w:p>
    <w:sdt>
      <w:sdtPr>
        <w:id w:val="111145805"/>
        <w:bibliography/>
      </w:sdtPr>
      <w:sdtEndPr>
        <w:rPr>
          <w:rFonts w:ascii="Times New Roman" w:eastAsia="Times New Roman" w:hAnsi="Times New Roman" w:cs="Times New Roman"/>
          <w:sz w:val="20"/>
          <w:szCs w:val="20"/>
          <w:lang w:val="en-US" w:eastAsia="en-US"/>
        </w:rPr>
      </w:sdtEndPr>
      <w:sdtContent>
        <w:p w14:paraId="1C872D38" w14:textId="77777777" w:rsidR="00F36D3A" w:rsidRPr="00F36D3A" w:rsidRDefault="00F36D3A" w:rsidP="00F36D3A">
          <w:pPr>
            <w:pStyle w:val="Bibliography"/>
            <w:spacing w:line="240" w:lineRule="auto"/>
            <w:jc w:val="both"/>
            <w:rPr>
              <w:rFonts w:ascii="Garamond" w:hAnsi="Garamond" w:cs="Times New Roman"/>
              <w:noProof/>
              <w:sz w:val="26"/>
              <w:szCs w:val="26"/>
              <w:lang w:val="en-US"/>
            </w:rPr>
          </w:pPr>
          <w:r w:rsidRPr="00F36D3A">
            <w:rPr>
              <w:rFonts w:ascii="Garamond" w:hAnsi="Garamond"/>
              <w:sz w:val="26"/>
              <w:szCs w:val="26"/>
            </w:rPr>
            <w:fldChar w:fldCharType="begin"/>
          </w:r>
          <w:r w:rsidRPr="00F36D3A">
            <w:rPr>
              <w:rFonts w:ascii="Garamond" w:hAnsi="Garamond"/>
              <w:sz w:val="26"/>
              <w:szCs w:val="26"/>
            </w:rPr>
            <w:instrText xml:space="preserve"> BIBLIOGRAPHY </w:instrText>
          </w:r>
          <w:r w:rsidRPr="00F36D3A">
            <w:rPr>
              <w:rFonts w:ascii="Garamond" w:hAnsi="Garamond"/>
              <w:sz w:val="26"/>
              <w:szCs w:val="26"/>
            </w:rPr>
            <w:fldChar w:fldCharType="separate"/>
          </w:r>
          <w:r w:rsidRPr="00F36D3A">
            <w:rPr>
              <w:rFonts w:ascii="Garamond" w:hAnsi="Garamond"/>
              <w:noProof/>
              <w:sz w:val="26"/>
              <w:szCs w:val="26"/>
              <w:lang w:val="en-US"/>
            </w:rPr>
            <w:t>2019. [Online] February 13, 2019. http://sciencing.com/slovins-formula-sampling-techniques-5475547.html.</w:t>
          </w:r>
        </w:p>
        <w:p w14:paraId="08DE91C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A Stable Marriage Requires Communication. </w:t>
          </w:r>
          <w:r w:rsidRPr="00F36D3A">
            <w:rPr>
              <w:rFonts w:ascii="Garamond" w:hAnsi="Garamond"/>
              <w:noProof/>
              <w:sz w:val="26"/>
              <w:szCs w:val="26"/>
              <w:lang w:val="en-US"/>
            </w:rPr>
            <w:t>Gonczarowski, Yanni A., et al. 2016. 2016, Games and Economic Behaviour, p. 4.</w:t>
          </w:r>
        </w:p>
        <w:p w14:paraId="5D8BC10E"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A Study on Financial Literacy and Its Determinants among Gen Y Employees in Coimbatore City. </w:t>
          </w:r>
          <w:r w:rsidRPr="00F36D3A">
            <w:rPr>
              <w:rFonts w:ascii="Garamond" w:hAnsi="Garamond"/>
              <w:noProof/>
              <w:sz w:val="26"/>
              <w:szCs w:val="26"/>
              <w:lang w:val="en-US"/>
            </w:rPr>
            <w:t>Sekar and Gowri. 2015. 2015, Great Lakes Herald, pp. 34-45.</w:t>
          </w:r>
        </w:p>
        <w:p w14:paraId="557A2BA6"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Abdillah, Willy and Hartono, Jogiyanto. 2015. </w:t>
          </w:r>
          <w:r w:rsidRPr="00F36D3A">
            <w:rPr>
              <w:rFonts w:ascii="Garamond" w:hAnsi="Garamond"/>
              <w:i/>
              <w:iCs/>
              <w:noProof/>
              <w:sz w:val="26"/>
              <w:szCs w:val="26"/>
              <w:lang w:val="en-US"/>
            </w:rPr>
            <w:t xml:space="preserve">Partial Least Square (PLS) - Alternative Structural Equation Modeling (SEM) dalam Penelitian Bisnis. </w:t>
          </w:r>
          <w:r w:rsidRPr="00F36D3A">
            <w:rPr>
              <w:rFonts w:ascii="Garamond" w:hAnsi="Garamond"/>
              <w:noProof/>
              <w:sz w:val="26"/>
              <w:szCs w:val="26"/>
              <w:lang w:val="en-US"/>
            </w:rPr>
            <w:t>Yogyakarta : Penerbit Andi, 2015.</w:t>
          </w:r>
        </w:p>
        <w:p w14:paraId="4AE958E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Abdullah, Daud Vicary. 2012. </w:t>
          </w:r>
          <w:r w:rsidRPr="00F36D3A">
            <w:rPr>
              <w:rFonts w:ascii="Garamond" w:hAnsi="Garamond"/>
              <w:i/>
              <w:iCs/>
              <w:noProof/>
              <w:sz w:val="26"/>
              <w:szCs w:val="26"/>
              <w:lang w:val="en-US"/>
            </w:rPr>
            <w:t xml:space="preserve">Buku Pintar Keuangan Syariah. </w:t>
          </w:r>
          <w:r w:rsidRPr="00F36D3A">
            <w:rPr>
              <w:rFonts w:ascii="Garamond" w:hAnsi="Garamond"/>
              <w:noProof/>
              <w:sz w:val="26"/>
              <w:szCs w:val="26"/>
              <w:lang w:val="en-US"/>
            </w:rPr>
            <w:t>Jakarta : Zaman, 2012.</w:t>
          </w:r>
        </w:p>
        <w:p w14:paraId="75051280"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Algifari. 2015. </w:t>
          </w:r>
          <w:r w:rsidRPr="00F36D3A">
            <w:rPr>
              <w:rFonts w:ascii="Garamond" w:hAnsi="Garamond"/>
              <w:i/>
              <w:iCs/>
              <w:noProof/>
              <w:sz w:val="26"/>
              <w:szCs w:val="26"/>
              <w:lang w:val="en-US"/>
            </w:rPr>
            <w:t xml:space="preserve">Analisis Regresi Untuk Bisnis dan Ekonomi. </w:t>
          </w:r>
          <w:r w:rsidRPr="00F36D3A">
            <w:rPr>
              <w:rFonts w:ascii="Garamond" w:hAnsi="Garamond"/>
              <w:noProof/>
              <w:sz w:val="26"/>
              <w:szCs w:val="26"/>
              <w:lang w:val="en-US"/>
            </w:rPr>
            <w:t>Yogyakarta : BPFE-Yogyakarta, 2015.</w:t>
          </w:r>
        </w:p>
        <w:p w14:paraId="5EA39E40"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An Analysis of Personal Financial Literacy Among College Students. </w:t>
          </w:r>
          <w:r w:rsidRPr="00F36D3A">
            <w:rPr>
              <w:rFonts w:ascii="Garamond" w:hAnsi="Garamond"/>
              <w:noProof/>
              <w:sz w:val="26"/>
              <w:szCs w:val="26"/>
              <w:lang w:val="en-US"/>
            </w:rPr>
            <w:t>Chen, Haiyang and Volpe, Ronald P. 1998. s.l. : Financial Services Review, 1998.</w:t>
          </w:r>
        </w:p>
        <w:p w14:paraId="45FAF0DD"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Analisis Literasi Keuangan Mahasiswa S-1 Fakultas Ekonomika dan Bisnis Universitas Diponegoro Angkatan 2014-2017. </w:t>
          </w:r>
          <w:r w:rsidRPr="00F36D3A">
            <w:rPr>
              <w:rFonts w:ascii="Garamond" w:hAnsi="Garamond"/>
              <w:noProof/>
              <w:sz w:val="26"/>
              <w:szCs w:val="26"/>
              <w:lang w:val="en-US"/>
            </w:rPr>
            <w:t>Sakinah, Gina and Mudakir, Bagio. 2018. 2018, Jurnal Dinamika Ekonomi Pembangunan, p. 14.</w:t>
          </w:r>
        </w:p>
        <w:p w14:paraId="46F7328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lastRenderedPageBreak/>
            <w:t xml:space="preserve">Ba, Initial. 2019. </w:t>
          </w:r>
          <w:r w:rsidRPr="00F36D3A">
            <w:rPr>
              <w:rFonts w:ascii="Garamond" w:hAnsi="Garamond"/>
              <w:i/>
              <w:iCs/>
              <w:noProof/>
              <w:sz w:val="26"/>
              <w:szCs w:val="26"/>
              <w:lang w:val="en-US"/>
            </w:rPr>
            <w:t xml:space="preserve">Financial Literacy. </w:t>
          </w:r>
          <w:r w:rsidRPr="00F36D3A">
            <w:rPr>
              <w:rFonts w:ascii="Garamond" w:hAnsi="Garamond"/>
              <w:noProof/>
              <w:sz w:val="26"/>
              <w:szCs w:val="26"/>
              <w:lang w:val="en-US"/>
            </w:rPr>
            <w:t>[interv.] Alfina Rahmatia. June 11, 2019.</w:t>
          </w:r>
        </w:p>
        <w:p w14:paraId="145AB353"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Bank, World. 2019. Global Financial Index. [Online] February 13, 2019. http://globalfindex.worldbank.org.</w:t>
          </w:r>
        </w:p>
        <w:p w14:paraId="769E2CCC"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Basuki, Agus Tri. 2015. </w:t>
          </w:r>
          <w:r w:rsidRPr="00F36D3A">
            <w:rPr>
              <w:rFonts w:ascii="Garamond" w:hAnsi="Garamond"/>
              <w:i/>
              <w:iCs/>
              <w:noProof/>
              <w:sz w:val="26"/>
              <w:szCs w:val="26"/>
              <w:lang w:val="en-US"/>
            </w:rPr>
            <w:t xml:space="preserve">Regresi dalam Penelitian Ekonomi dan Bisnis. </w:t>
          </w:r>
          <w:r w:rsidRPr="00F36D3A">
            <w:rPr>
              <w:rFonts w:ascii="Garamond" w:hAnsi="Garamond"/>
              <w:noProof/>
              <w:sz w:val="26"/>
              <w:szCs w:val="26"/>
              <w:lang w:val="en-US"/>
            </w:rPr>
            <w:t>Yogyakarta : Danisa Media, 2015.</w:t>
          </w:r>
        </w:p>
        <w:p w14:paraId="2D299069"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BI. 2019. Keuangan Inklusif Indonesia. </w:t>
          </w:r>
          <w:r w:rsidRPr="00F36D3A">
            <w:rPr>
              <w:rFonts w:ascii="Garamond" w:hAnsi="Garamond"/>
              <w:i/>
              <w:iCs/>
              <w:noProof/>
              <w:sz w:val="26"/>
              <w:szCs w:val="26"/>
              <w:lang w:val="en-US"/>
            </w:rPr>
            <w:t xml:space="preserve">Bank Indonesia. </w:t>
          </w:r>
          <w:r w:rsidRPr="00F36D3A">
            <w:rPr>
              <w:rFonts w:ascii="Garamond" w:hAnsi="Garamond"/>
              <w:noProof/>
              <w:sz w:val="26"/>
              <w:szCs w:val="26"/>
              <w:lang w:val="en-US"/>
            </w:rPr>
            <w:t>[Online] February 13, 2019. https://www.bi.go.id/id/perbankan/keuanganinklusif/Indonesia/Contents/.</w:t>
          </w:r>
        </w:p>
        <w:p w14:paraId="2E95E131"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Creswell, John W. 2016. </w:t>
          </w:r>
          <w:r w:rsidRPr="00F36D3A">
            <w:rPr>
              <w:rFonts w:ascii="Garamond" w:hAnsi="Garamond"/>
              <w:i/>
              <w:iCs/>
              <w:noProof/>
              <w:sz w:val="26"/>
              <w:szCs w:val="26"/>
              <w:lang w:val="en-US"/>
            </w:rPr>
            <w:t xml:space="preserve">Research Design Pendekatan Kualitatif, Kuantitatif dan Campuran. </w:t>
          </w:r>
          <w:r w:rsidRPr="00F36D3A">
            <w:rPr>
              <w:rFonts w:ascii="Garamond" w:hAnsi="Garamond"/>
              <w:noProof/>
              <w:sz w:val="26"/>
              <w:szCs w:val="26"/>
              <w:lang w:val="en-US"/>
            </w:rPr>
            <w:t>Yogyakarta : Pustaka Pelajar, 2016.</w:t>
          </w:r>
        </w:p>
        <w:p w14:paraId="46ECCE7F"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2018. Data Publish. </w:t>
          </w:r>
          <w:r w:rsidRPr="00F36D3A">
            <w:rPr>
              <w:rFonts w:ascii="Garamond" w:hAnsi="Garamond"/>
              <w:i/>
              <w:iCs/>
              <w:noProof/>
              <w:sz w:val="26"/>
              <w:szCs w:val="26"/>
              <w:lang w:val="en-US"/>
            </w:rPr>
            <w:t xml:space="preserve">Katadata. </w:t>
          </w:r>
          <w:r w:rsidRPr="00F36D3A">
            <w:rPr>
              <w:rFonts w:ascii="Garamond" w:hAnsi="Garamond"/>
              <w:noProof/>
              <w:sz w:val="26"/>
              <w:szCs w:val="26"/>
              <w:lang w:val="en-US"/>
            </w:rPr>
            <w:t>[Online] November 11, 2018. https://databoks.katadata.co.id/datapublish/2018/05/18/2018-jumlah-penduduk-indonesia-mencapai-265-juta-jiwa .</w:t>
          </w:r>
        </w:p>
        <w:p w14:paraId="05BAB2BC"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De, Initial. 2019. </w:t>
          </w:r>
          <w:r w:rsidRPr="00F36D3A">
            <w:rPr>
              <w:rFonts w:ascii="Garamond" w:hAnsi="Garamond"/>
              <w:i/>
              <w:iCs/>
              <w:noProof/>
              <w:sz w:val="26"/>
              <w:szCs w:val="26"/>
              <w:lang w:val="en-US"/>
            </w:rPr>
            <w:t xml:space="preserve">Financial Literacy. </w:t>
          </w:r>
          <w:r w:rsidRPr="00F36D3A">
            <w:rPr>
              <w:rFonts w:ascii="Garamond" w:hAnsi="Garamond"/>
              <w:noProof/>
              <w:sz w:val="26"/>
              <w:szCs w:val="26"/>
              <w:lang w:val="en-US"/>
            </w:rPr>
            <w:t>[interv.] Alfina Rahmatia. June 12, 2019.</w:t>
          </w:r>
        </w:p>
        <w:p w14:paraId="66678C8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Decomposing Gender Gaps in Financial Literacy: New International Evidence. </w:t>
          </w:r>
          <w:r w:rsidRPr="00F36D3A">
            <w:rPr>
              <w:rFonts w:ascii="Garamond" w:hAnsi="Garamond"/>
              <w:noProof/>
              <w:sz w:val="26"/>
              <w:szCs w:val="26"/>
              <w:lang w:val="en-US"/>
            </w:rPr>
            <w:t>Cupák, Andrej, et al. 2018. 2018, Economics Letters, p. 5.</w:t>
          </w:r>
        </w:p>
        <w:p w14:paraId="2D879DD1"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Experience Wears The Trousers: Exploring Gender and Attitude to Financial Risk. </w:t>
          </w:r>
          <w:r w:rsidRPr="00F36D3A">
            <w:rPr>
              <w:rFonts w:ascii="Garamond" w:hAnsi="Garamond"/>
              <w:noProof/>
              <w:sz w:val="26"/>
              <w:szCs w:val="26"/>
              <w:lang w:val="en-US"/>
            </w:rPr>
            <w:t>Brooks, Chris, et al. 2019. 2019, Journal of Economic Behavior and Organization, p. 504.</w:t>
          </w:r>
        </w:p>
        <w:p w14:paraId="46BE354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Exploring Gender Effects in Intention to Islamic Mobile Banking Adoption: An Empirical Study. </w:t>
          </w:r>
          <w:r w:rsidRPr="00F36D3A">
            <w:rPr>
              <w:rFonts w:ascii="Garamond" w:hAnsi="Garamond"/>
              <w:noProof/>
              <w:sz w:val="26"/>
              <w:szCs w:val="26"/>
              <w:lang w:val="en-US"/>
            </w:rPr>
            <w:t>Haider, Muhammad Jamal, et al. 2018. 2018, Arab Economic and Business Journal, Holy Spirit University of Kaslik, p. 28.</w:t>
          </w:r>
        </w:p>
        <w:p w14:paraId="0A0F33F9"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Factors Determining Islamic Financial Literacy Among Undergraduates. </w:t>
          </w:r>
          <w:r w:rsidRPr="00F36D3A">
            <w:rPr>
              <w:rFonts w:ascii="Garamond" w:hAnsi="Garamond"/>
              <w:noProof/>
              <w:sz w:val="26"/>
              <w:szCs w:val="26"/>
              <w:lang w:val="en-US"/>
            </w:rPr>
            <w:t>Abdullah, Mohamad Azmi. 2017. Kuala Lumpur : Journal of Emerging Economies and Islamic Research, 2017, p. 70.</w:t>
          </w:r>
        </w:p>
        <w:p w14:paraId="04499401"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Factors that Influence The Level of Financial Literacy Among Young People: The Role of Parental Engagement and Students' Experiences with Money Matters. </w:t>
          </w:r>
          <w:r w:rsidRPr="00F36D3A">
            <w:rPr>
              <w:rFonts w:ascii="Garamond" w:hAnsi="Garamond"/>
              <w:noProof/>
              <w:sz w:val="26"/>
              <w:szCs w:val="26"/>
              <w:lang w:val="en-US"/>
            </w:rPr>
            <w:t>Moreno-Herrero, Dolores, Salas-Velasco, Manuel and Sánchez-Campillo, José. 2018. 2018, Children and Youth Services Review, p. 347.</w:t>
          </w:r>
        </w:p>
        <w:p w14:paraId="15BF94D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Financial Literacy and Family Communication Patterns. </w:t>
          </w:r>
          <w:r w:rsidRPr="00F36D3A">
            <w:rPr>
              <w:rFonts w:ascii="Garamond" w:hAnsi="Garamond"/>
              <w:noProof/>
              <w:sz w:val="26"/>
              <w:szCs w:val="26"/>
              <w:lang w:val="en-US"/>
            </w:rPr>
            <w:t>Hanson, Thomas A. and Olson, Peter M. 2018. 2018, Journal of Behavioral and Experimental Finance, p. 23.</w:t>
          </w:r>
        </w:p>
        <w:p w14:paraId="71BE224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Financial Literacy and Financial Behavior: Evidence from the Emerging Asian Middle Class. </w:t>
          </w:r>
          <w:r w:rsidRPr="00F36D3A">
            <w:rPr>
              <w:rFonts w:ascii="Garamond" w:hAnsi="Garamond"/>
              <w:noProof/>
              <w:sz w:val="26"/>
              <w:szCs w:val="26"/>
              <w:lang w:val="en-US"/>
            </w:rPr>
            <w:t>Grohmann, Antonia. 2018. 2018, Pacific-Basin Finance Journal, p. 140.</w:t>
          </w:r>
        </w:p>
        <w:p w14:paraId="263692CE"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Financial Literacy and Subjective Expectations Questions: A Validation Exercise. </w:t>
          </w:r>
          <w:r w:rsidRPr="00F36D3A">
            <w:rPr>
              <w:rFonts w:ascii="Garamond" w:hAnsi="Garamond"/>
              <w:noProof/>
              <w:sz w:val="26"/>
              <w:szCs w:val="26"/>
              <w:lang w:val="en-US"/>
            </w:rPr>
            <w:t>Paiella, Monica. 2015. 2015, Research in Economics, pp. 17-18.</w:t>
          </w:r>
        </w:p>
        <w:p w14:paraId="16AAB08C"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lastRenderedPageBreak/>
            <w:t xml:space="preserve">Financial Literacy in Nepal: A Survey Analysis from Collage Students. </w:t>
          </w:r>
          <w:r w:rsidRPr="00F36D3A">
            <w:rPr>
              <w:rFonts w:ascii="Garamond" w:hAnsi="Garamond"/>
              <w:noProof/>
              <w:sz w:val="26"/>
              <w:szCs w:val="26"/>
              <w:lang w:val="en-US"/>
            </w:rPr>
            <w:t>Thapa, Bharat Singh and Nepal, Surendra Raj. 2015. Kathmandu : NRB Economic Review, 2015. Proseding 2nd International Conference. pp. 49-74.</w:t>
          </w:r>
        </w:p>
        <w:p w14:paraId="2D4397D1"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Financial Literacy More Important Than Ever. </w:t>
          </w:r>
          <w:r w:rsidRPr="00F36D3A">
            <w:rPr>
              <w:rFonts w:ascii="Garamond" w:hAnsi="Garamond"/>
              <w:noProof/>
              <w:sz w:val="26"/>
              <w:szCs w:val="26"/>
              <w:lang w:val="en-US"/>
            </w:rPr>
            <w:t>Gaberlavage, George. 2009. s.l. : AARP International, 2009, Economic Security and Work Journal, p. 40.</w:t>
          </w:r>
        </w:p>
        <w:p w14:paraId="1524062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Financial Literacy, Housing Value and Household Financial Market Participation: Evidence from Urban China. </w:t>
          </w:r>
          <w:r w:rsidRPr="00F36D3A">
            <w:rPr>
              <w:rFonts w:ascii="Garamond" w:hAnsi="Garamond"/>
              <w:noProof/>
              <w:sz w:val="26"/>
              <w:szCs w:val="26"/>
              <w:lang w:val="en-US"/>
            </w:rPr>
            <w:t>Zou, Jing and Deng, Xiaojun. 2019. 2019, China Economic Review, pp. 62-63.</w:t>
          </w:r>
        </w:p>
        <w:p w14:paraId="220D5FE9"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Finlit. 2019. [Online] August 10, 2019. http://www.finlit.mhfi.com.</w:t>
          </w:r>
        </w:p>
        <w:p w14:paraId="762541A3"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Gender Equality: Engaging Men in Change. </w:t>
          </w:r>
          <w:r w:rsidRPr="00F36D3A">
            <w:rPr>
              <w:rFonts w:ascii="Garamond" w:hAnsi="Garamond"/>
              <w:noProof/>
              <w:sz w:val="26"/>
              <w:szCs w:val="26"/>
              <w:lang w:val="en-US"/>
            </w:rPr>
            <w:t>Flood, Michael. 2018. 2018, The Art of Medicine, pp. 1-2.</w:t>
          </w:r>
        </w:p>
        <w:p w14:paraId="0E53FBCF"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Ha, Initial. 2019. </w:t>
          </w:r>
          <w:r w:rsidRPr="00F36D3A">
            <w:rPr>
              <w:rFonts w:ascii="Garamond" w:hAnsi="Garamond"/>
              <w:i/>
              <w:iCs/>
              <w:noProof/>
              <w:sz w:val="26"/>
              <w:szCs w:val="26"/>
              <w:lang w:val="en-US"/>
            </w:rPr>
            <w:t xml:space="preserve">Financial Literacy. </w:t>
          </w:r>
          <w:r w:rsidRPr="00F36D3A">
            <w:rPr>
              <w:rFonts w:ascii="Garamond" w:hAnsi="Garamond"/>
              <w:noProof/>
              <w:sz w:val="26"/>
              <w:szCs w:val="26"/>
              <w:lang w:val="en-US"/>
            </w:rPr>
            <w:t>[interv.] Alfina Rahmatia. June 13, 2019.</w:t>
          </w:r>
        </w:p>
        <w:p w14:paraId="46EFF5C3"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Herdiansyah, Haris. 2010. </w:t>
          </w:r>
          <w:r w:rsidRPr="00F36D3A">
            <w:rPr>
              <w:rFonts w:ascii="Garamond" w:hAnsi="Garamond"/>
              <w:i/>
              <w:iCs/>
              <w:noProof/>
              <w:sz w:val="26"/>
              <w:szCs w:val="26"/>
              <w:lang w:val="en-US"/>
            </w:rPr>
            <w:t xml:space="preserve">Metodologi Penelitian Kualitatif untuk Ilmu-ilmu Sosial. </w:t>
          </w:r>
          <w:r w:rsidRPr="00F36D3A">
            <w:rPr>
              <w:rFonts w:ascii="Garamond" w:hAnsi="Garamond"/>
              <w:noProof/>
              <w:sz w:val="26"/>
              <w:szCs w:val="26"/>
              <w:lang w:val="en-US"/>
            </w:rPr>
            <w:t>Jakarta : Salemba Humanika, 2010.</w:t>
          </w:r>
        </w:p>
        <w:p w14:paraId="7EB41134"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It Takes Two to Tango: Households’ Response to Financial Advice and The Role of Financial Literacy. </w:t>
          </w:r>
          <w:r w:rsidRPr="00F36D3A">
            <w:rPr>
              <w:rFonts w:ascii="Garamond" w:hAnsi="Garamond"/>
              <w:noProof/>
              <w:sz w:val="26"/>
              <w:szCs w:val="26"/>
              <w:lang w:val="en-US"/>
            </w:rPr>
            <w:t>Stolper, Oscar. 2017. 2017, Journal of Banking and Finance, pp. 22-23.</w:t>
          </w:r>
        </w:p>
        <w:p w14:paraId="5D04F026"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Journey of Islamic Economics in the Modern World. </w:t>
          </w:r>
          <w:r w:rsidRPr="00F36D3A">
            <w:rPr>
              <w:rFonts w:ascii="Garamond" w:hAnsi="Garamond"/>
              <w:noProof/>
              <w:sz w:val="26"/>
              <w:szCs w:val="26"/>
              <w:lang w:val="en-US"/>
            </w:rPr>
            <w:t>Muqorobin, Masyhudi. 2008. Makkah : Islamic Research and Training Institute - IDB, 2008. The 7th International Conference in Islamic Economics. p. 385.</w:t>
          </w:r>
        </w:p>
        <w:p w14:paraId="217DD02D"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Kiyosaki, Robert T. 2000. </w:t>
          </w:r>
          <w:r w:rsidRPr="00F36D3A">
            <w:rPr>
              <w:rFonts w:ascii="Garamond" w:hAnsi="Garamond"/>
              <w:i/>
              <w:iCs/>
              <w:noProof/>
              <w:sz w:val="26"/>
              <w:szCs w:val="26"/>
              <w:lang w:val="en-US"/>
            </w:rPr>
            <w:t xml:space="preserve">Rich Dad, Poor Dad. </w:t>
          </w:r>
          <w:r w:rsidRPr="00F36D3A">
            <w:rPr>
              <w:rFonts w:ascii="Garamond" w:hAnsi="Garamond"/>
              <w:noProof/>
              <w:sz w:val="26"/>
              <w:szCs w:val="26"/>
              <w:lang w:val="en-US"/>
            </w:rPr>
            <w:t>United State : Warner Book, 2000.</w:t>
          </w:r>
        </w:p>
        <w:p w14:paraId="72A8172D"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Komparari Peningkatan Inklusi Keuangan dan Indikator Pembangunan di Indonesia. </w:t>
          </w:r>
          <w:r w:rsidRPr="00F36D3A">
            <w:rPr>
              <w:rFonts w:ascii="Garamond" w:hAnsi="Garamond"/>
              <w:noProof/>
              <w:sz w:val="26"/>
              <w:szCs w:val="26"/>
              <w:lang w:val="en-US"/>
            </w:rPr>
            <w:t>Akyuwen, Roberto and Mangowal, Caroline. 2017. 2017, Jurnal Modus, pp. 96-109.</w:t>
          </w:r>
        </w:p>
        <w:p w14:paraId="358E0878"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Kompas. 2019. Literasi Keuangan Untuk Generasi Milenial. </w:t>
          </w:r>
          <w:r w:rsidRPr="00F36D3A">
            <w:rPr>
              <w:rFonts w:ascii="Garamond" w:hAnsi="Garamond"/>
              <w:i/>
              <w:iCs/>
              <w:noProof/>
              <w:sz w:val="26"/>
              <w:szCs w:val="26"/>
              <w:lang w:val="en-US"/>
            </w:rPr>
            <w:t xml:space="preserve">Ekonomi Kompas. </w:t>
          </w:r>
          <w:r w:rsidRPr="00F36D3A">
            <w:rPr>
              <w:rFonts w:ascii="Garamond" w:hAnsi="Garamond"/>
              <w:noProof/>
              <w:sz w:val="26"/>
              <w:szCs w:val="26"/>
              <w:lang w:val="en-US"/>
            </w:rPr>
            <w:t>[Online] August 10, 2019. https://ekonomi.kompas.com/read/2018/11/22/153800926/literasi-keuangan-untuk-generasi-milenial .</w:t>
          </w:r>
        </w:p>
        <w:p w14:paraId="24E7A575"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Liputan6. 2019. Ojk Sebut Baru 234 Persen Anak Muda Paham Produk Keuangan. </w:t>
          </w:r>
          <w:r w:rsidRPr="00F36D3A">
            <w:rPr>
              <w:rFonts w:ascii="Garamond" w:hAnsi="Garamond"/>
              <w:i/>
              <w:iCs/>
              <w:noProof/>
              <w:sz w:val="26"/>
              <w:szCs w:val="26"/>
              <w:lang w:val="en-US"/>
            </w:rPr>
            <w:t xml:space="preserve">Bisnis. </w:t>
          </w:r>
          <w:r w:rsidRPr="00F36D3A">
            <w:rPr>
              <w:rFonts w:ascii="Garamond" w:hAnsi="Garamond"/>
              <w:noProof/>
              <w:sz w:val="26"/>
              <w:szCs w:val="26"/>
              <w:lang w:val="en-US"/>
            </w:rPr>
            <w:t>[Online] August 10, 2019. https://www.liputan6.com/bisnis/read/3532963/ojk-sebut-baru-234-persen-anak-muda-ri-paham-produk-keuangan .</w:t>
          </w:r>
        </w:p>
        <w:p w14:paraId="65C34661"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Literasi Keuangan Pelaku Ekonomi Rakyat. </w:t>
          </w:r>
          <w:r w:rsidRPr="00F36D3A">
            <w:rPr>
              <w:rFonts w:ascii="Garamond" w:hAnsi="Garamond"/>
              <w:noProof/>
              <w:sz w:val="26"/>
              <w:szCs w:val="26"/>
              <w:lang w:val="en-US"/>
            </w:rPr>
            <w:t>Ma'ruf, Ahmad and Desiyana, Tasya. 2015. 2015, Buletin Ekonomi, pp. 139-270.</w:t>
          </w:r>
        </w:p>
        <w:p w14:paraId="0F6FDF04"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Muin, Idianto. 2013. </w:t>
          </w:r>
          <w:r w:rsidRPr="00F36D3A">
            <w:rPr>
              <w:rFonts w:ascii="Garamond" w:hAnsi="Garamond"/>
              <w:i/>
              <w:iCs/>
              <w:noProof/>
              <w:sz w:val="26"/>
              <w:szCs w:val="26"/>
              <w:lang w:val="en-US"/>
            </w:rPr>
            <w:t xml:space="preserve">Sosiologi untuk SMA/MA Kelas X. </w:t>
          </w:r>
          <w:r w:rsidRPr="00F36D3A">
            <w:rPr>
              <w:rFonts w:ascii="Garamond" w:hAnsi="Garamond"/>
              <w:noProof/>
              <w:sz w:val="26"/>
              <w:szCs w:val="26"/>
              <w:lang w:val="en-US"/>
            </w:rPr>
            <w:t>Jakarta : Erlangga, 2013.</w:t>
          </w:r>
        </w:p>
        <w:p w14:paraId="51CB65E2"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OJK. 2016. </w:t>
          </w:r>
          <w:r w:rsidRPr="00F36D3A">
            <w:rPr>
              <w:rFonts w:ascii="Garamond" w:hAnsi="Garamond"/>
              <w:i/>
              <w:iCs/>
              <w:noProof/>
              <w:sz w:val="26"/>
              <w:szCs w:val="26"/>
              <w:lang w:val="en-US"/>
            </w:rPr>
            <w:t xml:space="preserve">Financial Authority Service Regulation Year 2016, Chapter 1 Article 1 Paragraph 7 and Article 11. </w:t>
          </w:r>
          <w:r w:rsidRPr="00F36D3A">
            <w:rPr>
              <w:rFonts w:ascii="Garamond" w:hAnsi="Garamond"/>
              <w:noProof/>
              <w:sz w:val="26"/>
              <w:szCs w:val="26"/>
              <w:lang w:val="en-US"/>
            </w:rPr>
            <w:t>Jakarta : Financial Authority Service, 2016.</w:t>
          </w:r>
        </w:p>
        <w:p w14:paraId="0310693F"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lastRenderedPageBreak/>
            <w:t xml:space="preserve">—. Kanal. </w:t>
          </w:r>
          <w:r w:rsidRPr="00F36D3A">
            <w:rPr>
              <w:rFonts w:ascii="Garamond" w:hAnsi="Garamond"/>
              <w:i/>
              <w:iCs/>
              <w:noProof/>
              <w:sz w:val="26"/>
              <w:szCs w:val="26"/>
              <w:lang w:val="en-US"/>
            </w:rPr>
            <w:t xml:space="preserve">Edukasi dan Perlindungan Konsumen. </w:t>
          </w:r>
          <w:r w:rsidRPr="00F36D3A">
            <w:rPr>
              <w:rFonts w:ascii="Garamond" w:hAnsi="Garamond"/>
              <w:noProof/>
              <w:sz w:val="26"/>
              <w:szCs w:val="26"/>
              <w:lang w:val="en-US"/>
            </w:rPr>
            <w:t>[Online] Financial Service Authority. [Cited: November 11, 2018.] http://www.ojk.go.id/id/kanal/edukasi-dan-perlindungan-konsumen/Pages/Literasi-Keuangan.aspx.</w:t>
          </w:r>
        </w:p>
        <w:p w14:paraId="27A236B5"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OJK. 2013. </w:t>
          </w:r>
          <w:r w:rsidRPr="00F36D3A">
            <w:rPr>
              <w:rFonts w:ascii="Garamond" w:hAnsi="Garamond"/>
              <w:i/>
              <w:iCs/>
              <w:noProof/>
              <w:sz w:val="26"/>
              <w:szCs w:val="26"/>
              <w:lang w:val="en-US"/>
            </w:rPr>
            <w:t xml:space="preserve">Strategi Nasional Literasi Keuangan Indonesia. </w:t>
          </w:r>
          <w:r w:rsidRPr="00F36D3A">
            <w:rPr>
              <w:rFonts w:ascii="Garamond" w:hAnsi="Garamond"/>
              <w:noProof/>
              <w:sz w:val="26"/>
              <w:szCs w:val="26"/>
              <w:lang w:val="en-US"/>
            </w:rPr>
            <w:t>Jakarta : Otoritas Jasa Keuangan, 2013.</w:t>
          </w:r>
        </w:p>
        <w:p w14:paraId="151986A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OJK. 2016. </w:t>
          </w:r>
          <w:r w:rsidRPr="00F36D3A">
            <w:rPr>
              <w:rFonts w:ascii="Garamond" w:hAnsi="Garamond"/>
              <w:i/>
              <w:iCs/>
              <w:noProof/>
              <w:sz w:val="26"/>
              <w:szCs w:val="26"/>
              <w:lang w:val="en-US"/>
            </w:rPr>
            <w:t xml:space="preserve">Strategi Nasional Literasi Keuangan Indonesia. </w:t>
          </w:r>
          <w:r w:rsidRPr="00F36D3A">
            <w:rPr>
              <w:rFonts w:ascii="Garamond" w:hAnsi="Garamond"/>
              <w:noProof/>
              <w:sz w:val="26"/>
              <w:szCs w:val="26"/>
              <w:lang w:val="en-US"/>
            </w:rPr>
            <w:t>Jakarta : Otoritas Jasa Keuangan, 2016.</w:t>
          </w:r>
        </w:p>
        <w:p w14:paraId="0F4FE820"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OJK. 2013. </w:t>
          </w:r>
          <w:r w:rsidRPr="00F36D3A">
            <w:rPr>
              <w:rFonts w:ascii="Garamond" w:hAnsi="Garamond"/>
              <w:i/>
              <w:iCs/>
              <w:noProof/>
              <w:sz w:val="26"/>
              <w:szCs w:val="26"/>
              <w:lang w:val="en-US"/>
            </w:rPr>
            <w:t xml:space="preserve">Survey Otoritas Jasa Keuangan. </w:t>
          </w:r>
          <w:r w:rsidRPr="00F36D3A">
            <w:rPr>
              <w:rFonts w:ascii="Garamond" w:hAnsi="Garamond"/>
              <w:noProof/>
              <w:sz w:val="26"/>
              <w:szCs w:val="26"/>
              <w:lang w:val="en-US"/>
            </w:rPr>
            <w:t>Jakarta : Financial Authority Service, 2013.</w:t>
          </w:r>
        </w:p>
        <w:p w14:paraId="0788C83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OJK, Peraturan. 2016. </w:t>
          </w:r>
          <w:r w:rsidRPr="00F36D3A">
            <w:rPr>
              <w:rFonts w:ascii="Garamond" w:hAnsi="Garamond"/>
              <w:i/>
              <w:iCs/>
              <w:noProof/>
              <w:sz w:val="26"/>
              <w:szCs w:val="26"/>
              <w:lang w:val="en-US"/>
            </w:rPr>
            <w:t xml:space="preserve">Peraturan Otoritas Jasa Keuangan Tahun 2016, Bab 1 Pasal 1 ayat 7 dan Pasal 11. </w:t>
          </w:r>
          <w:r w:rsidRPr="00F36D3A">
            <w:rPr>
              <w:rFonts w:ascii="Garamond" w:hAnsi="Garamond"/>
              <w:noProof/>
              <w:sz w:val="26"/>
              <w:szCs w:val="26"/>
              <w:lang w:val="en-US"/>
            </w:rPr>
            <w:t>Jakarta : Otoritas Jasa Keuangan, 2016.</w:t>
          </w:r>
        </w:p>
        <w:p w14:paraId="2576202E"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Pemikiran Gustav Jung Tentang Teori Kepribadian (Implikasinya Terhadap Interaksi Sosial). </w:t>
          </w:r>
          <w:r w:rsidRPr="00F36D3A">
            <w:rPr>
              <w:rFonts w:ascii="Garamond" w:hAnsi="Garamond"/>
              <w:noProof/>
              <w:sz w:val="26"/>
              <w:szCs w:val="26"/>
              <w:lang w:val="en-US"/>
            </w:rPr>
            <w:t>Ismail, Feby. 2009. 2009, Jurnal IAIN Manado, pp. 1-12.</w:t>
          </w:r>
        </w:p>
        <w:p w14:paraId="3FBD46A6"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Pengembangan Modul Edukasi Literasi Keuangan Islam dan Produk Halal untuk UMKM, Sebuah Pemikiran. </w:t>
          </w:r>
          <w:r w:rsidRPr="00F36D3A">
            <w:rPr>
              <w:rFonts w:ascii="Garamond" w:hAnsi="Garamond"/>
              <w:noProof/>
              <w:sz w:val="26"/>
              <w:szCs w:val="26"/>
              <w:lang w:val="en-US"/>
            </w:rPr>
            <w:t>Wahyuni, Nur Ikka. 2016. Jakarta : s.n., 2016. Prosiding Seminar Nasional Pendidikan Ekonomi dan Bisnis.</w:t>
          </w:r>
        </w:p>
        <w:p w14:paraId="5B4C2226"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Quarterlife Crisis: The Unique Challenge of Life in Your Twentie. </w:t>
          </w:r>
          <w:r w:rsidRPr="00F36D3A">
            <w:rPr>
              <w:rFonts w:ascii="Garamond" w:hAnsi="Garamond"/>
              <w:noProof/>
              <w:sz w:val="26"/>
              <w:szCs w:val="26"/>
              <w:lang w:val="en-US"/>
            </w:rPr>
            <w:t>Robbins, Alexander and Wilner, Abby. 2001. London : Penguin Putman, 2001.</w:t>
          </w:r>
        </w:p>
        <w:p w14:paraId="12C6EF76"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Quarterlife Crisis: Then Unaddressed Phenomenon. </w:t>
          </w:r>
          <w:r w:rsidRPr="00F36D3A">
            <w:rPr>
              <w:rFonts w:ascii="Garamond" w:hAnsi="Garamond"/>
              <w:noProof/>
              <w:sz w:val="26"/>
              <w:szCs w:val="26"/>
              <w:lang w:val="en-US"/>
            </w:rPr>
            <w:t>M. Thorspecken, Jennifer. 2005. New Jersey : Prosiding Annual Conference of the New Jersey Counseling Association, 2005.</w:t>
          </w:r>
        </w:p>
        <w:p w14:paraId="74DD4BAB"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M.Thorspecken, Jennifer. 2005. New Jersey : s.n., 2005. Prosiding Annual Conference of the New Jersey Counseling Association. pp. 120-127.</w:t>
          </w:r>
        </w:p>
        <w:p w14:paraId="68ACDC19"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Si, Initial. 2019. </w:t>
          </w:r>
          <w:r w:rsidRPr="00F36D3A">
            <w:rPr>
              <w:rFonts w:ascii="Garamond" w:hAnsi="Garamond"/>
              <w:i/>
              <w:iCs/>
              <w:noProof/>
              <w:sz w:val="26"/>
              <w:szCs w:val="26"/>
              <w:lang w:val="en-US"/>
            </w:rPr>
            <w:t xml:space="preserve">Financial Literacy. </w:t>
          </w:r>
          <w:r w:rsidRPr="00F36D3A">
            <w:rPr>
              <w:rFonts w:ascii="Garamond" w:hAnsi="Garamond"/>
              <w:noProof/>
              <w:sz w:val="26"/>
              <w:szCs w:val="26"/>
              <w:lang w:val="en-US"/>
            </w:rPr>
            <w:t>[interv.] Alfina Rahmatia. June 13, 2019.</w:t>
          </w:r>
        </w:p>
        <w:p w14:paraId="4A84AA63"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Sugiyono. 2012. </w:t>
          </w:r>
          <w:r w:rsidRPr="00F36D3A">
            <w:rPr>
              <w:rFonts w:ascii="Garamond" w:hAnsi="Garamond"/>
              <w:i/>
              <w:iCs/>
              <w:noProof/>
              <w:sz w:val="26"/>
              <w:szCs w:val="26"/>
              <w:lang w:val="en-US"/>
            </w:rPr>
            <w:t xml:space="preserve">Metode Penelitian Kuantitatif, Kualitatif, dan R&amp;D. </w:t>
          </w:r>
          <w:r w:rsidRPr="00F36D3A">
            <w:rPr>
              <w:rFonts w:ascii="Garamond" w:hAnsi="Garamond"/>
              <w:noProof/>
              <w:sz w:val="26"/>
              <w:szCs w:val="26"/>
              <w:lang w:val="en-US"/>
            </w:rPr>
            <w:t>Bandung : Penerbit Alfabeta, 2012.</w:t>
          </w:r>
        </w:p>
        <w:p w14:paraId="5E8962BE"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Sumanto. 2014. </w:t>
          </w:r>
          <w:r w:rsidRPr="00F36D3A">
            <w:rPr>
              <w:rFonts w:ascii="Garamond" w:hAnsi="Garamond"/>
              <w:i/>
              <w:iCs/>
              <w:noProof/>
              <w:sz w:val="26"/>
              <w:szCs w:val="26"/>
              <w:lang w:val="en-US"/>
            </w:rPr>
            <w:t xml:space="preserve">Statistika Terapan. </w:t>
          </w:r>
          <w:r w:rsidRPr="00F36D3A">
            <w:rPr>
              <w:rFonts w:ascii="Garamond" w:hAnsi="Garamond"/>
              <w:noProof/>
              <w:sz w:val="26"/>
              <w:szCs w:val="26"/>
              <w:lang w:val="en-US"/>
            </w:rPr>
            <w:t>Jakarta : CAPS (Center of Academic Publishing Service), 2014.</w:t>
          </w:r>
        </w:p>
        <w:p w14:paraId="579DF780"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The Holistic Phase Model of Early Adult Crisis. </w:t>
          </w:r>
          <w:r w:rsidRPr="00F36D3A">
            <w:rPr>
              <w:rFonts w:ascii="Garamond" w:hAnsi="Garamond"/>
              <w:noProof/>
              <w:sz w:val="26"/>
              <w:szCs w:val="26"/>
              <w:lang w:val="en-US"/>
            </w:rPr>
            <w:t>Robinson, Oliver C, Wright, Gordon R.T. and Smith, Jonathan A. 2013 : Journal of Adult Development, Vol. 20.</w:t>
          </w:r>
        </w:p>
        <w:p w14:paraId="622CD997"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The Tension Between Gender Equality and Doing Gender Swedish Couples' Talk About The Division of Housework. </w:t>
          </w:r>
          <w:r w:rsidRPr="00F36D3A">
            <w:rPr>
              <w:rFonts w:ascii="Garamond" w:hAnsi="Garamond"/>
              <w:noProof/>
              <w:sz w:val="26"/>
              <w:szCs w:val="26"/>
              <w:lang w:val="en-US"/>
            </w:rPr>
            <w:t>Nyman, Charlott, Reinikainen, Lasse and Eriksson, Kristina. 2018. 2018, Women's Studies International Forum, p. 44.</w:t>
          </w:r>
        </w:p>
        <w:p w14:paraId="6DA46BDD"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Nyman, Charlott, Reinikainen, Lasse and Eriksson, Kristina. 2018. 2018, Women's Studies International Forum, p. 44.</w:t>
          </w:r>
        </w:p>
        <w:p w14:paraId="57CB00B5"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t xml:space="preserve">Tingkat Literasi Keuangan di Kalangan Mahasiswa STIE Musi. </w:t>
          </w:r>
          <w:r w:rsidRPr="00F36D3A">
            <w:rPr>
              <w:rFonts w:ascii="Garamond" w:hAnsi="Garamond"/>
              <w:noProof/>
              <w:sz w:val="26"/>
              <w:szCs w:val="26"/>
              <w:lang w:val="en-US"/>
            </w:rPr>
            <w:t>Mendari, Anastasia Sri and Kewal, Suramaya Suci. 2013. 2013, Jurnal Economia, pp. 130-140.</w:t>
          </w:r>
        </w:p>
        <w:p w14:paraId="21E710AC"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i/>
              <w:iCs/>
              <w:noProof/>
              <w:sz w:val="26"/>
              <w:szCs w:val="26"/>
              <w:lang w:val="en-US"/>
            </w:rPr>
            <w:lastRenderedPageBreak/>
            <w:t xml:space="preserve">Tingkat Literasi Keuangan Pada Mahasiswa S-1 Fakultas Ekonomi. </w:t>
          </w:r>
          <w:r w:rsidRPr="00F36D3A">
            <w:rPr>
              <w:rFonts w:ascii="Garamond" w:hAnsi="Garamond"/>
              <w:noProof/>
              <w:sz w:val="26"/>
              <w:szCs w:val="26"/>
              <w:lang w:val="en-US"/>
            </w:rPr>
            <w:t>Margaretha, Farah and Pambudhi, Reza Arief. 2015. 2015, Jurnal Manajemen dan Kewirausahaan, pp. 76-85.</w:t>
          </w:r>
        </w:p>
        <w:p w14:paraId="3877660F"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UI, Initial. 2019. </w:t>
          </w:r>
          <w:r w:rsidRPr="00F36D3A">
            <w:rPr>
              <w:rFonts w:ascii="Garamond" w:hAnsi="Garamond"/>
              <w:i/>
              <w:iCs/>
              <w:noProof/>
              <w:sz w:val="26"/>
              <w:szCs w:val="26"/>
              <w:lang w:val="en-US"/>
            </w:rPr>
            <w:t xml:space="preserve">Financial Literacy. </w:t>
          </w:r>
          <w:r w:rsidRPr="00F36D3A">
            <w:rPr>
              <w:rFonts w:ascii="Garamond" w:hAnsi="Garamond"/>
              <w:noProof/>
              <w:sz w:val="26"/>
              <w:szCs w:val="26"/>
              <w:lang w:val="en-US"/>
            </w:rPr>
            <w:t>[interv.] Alfina Rahmatia. June 10, 2019.</w:t>
          </w:r>
        </w:p>
        <w:p w14:paraId="5793238A" w14:textId="77777777" w:rsidR="00F36D3A" w:rsidRPr="00F36D3A" w:rsidRDefault="00F36D3A" w:rsidP="00F36D3A">
          <w:pPr>
            <w:pStyle w:val="Bibliography"/>
            <w:spacing w:line="240" w:lineRule="auto"/>
            <w:jc w:val="both"/>
            <w:rPr>
              <w:rFonts w:ascii="Garamond" w:hAnsi="Garamond"/>
              <w:noProof/>
              <w:sz w:val="26"/>
              <w:szCs w:val="26"/>
              <w:lang w:val="en-US"/>
            </w:rPr>
          </w:pPr>
          <w:r w:rsidRPr="00F36D3A">
            <w:rPr>
              <w:rFonts w:ascii="Garamond" w:hAnsi="Garamond"/>
              <w:noProof/>
              <w:sz w:val="26"/>
              <w:szCs w:val="26"/>
              <w:lang w:val="en-US"/>
            </w:rPr>
            <w:t xml:space="preserve">Widianto, Bambang. 2014. </w:t>
          </w:r>
          <w:r w:rsidRPr="00F36D3A">
            <w:rPr>
              <w:rFonts w:ascii="Garamond" w:hAnsi="Garamond"/>
              <w:i/>
              <w:iCs/>
              <w:noProof/>
              <w:sz w:val="26"/>
              <w:szCs w:val="26"/>
              <w:lang w:val="en-US"/>
            </w:rPr>
            <w:t xml:space="preserve">Keuangan Inklusif dan Penanggulangan Kemiskinan. </w:t>
          </w:r>
          <w:r w:rsidRPr="00F36D3A">
            <w:rPr>
              <w:rFonts w:ascii="Garamond" w:hAnsi="Garamond"/>
              <w:noProof/>
              <w:sz w:val="26"/>
              <w:szCs w:val="26"/>
              <w:lang w:val="en-US"/>
            </w:rPr>
            <w:t>Jakarta : National Team for The Acceleration of Poverty Reduction, 2014.</w:t>
          </w:r>
        </w:p>
        <w:p w14:paraId="42C75A05" w14:textId="77777777" w:rsidR="00F36D3A" w:rsidRDefault="00F36D3A" w:rsidP="00F36D3A">
          <w:pPr>
            <w:jc w:val="both"/>
            <w:rPr>
              <w:sz w:val="20"/>
              <w:szCs w:val="20"/>
            </w:rPr>
          </w:pPr>
          <w:r w:rsidRPr="00F36D3A">
            <w:rPr>
              <w:rFonts w:ascii="Garamond" w:hAnsi="Garamond"/>
              <w:noProof/>
              <w:sz w:val="26"/>
              <w:szCs w:val="26"/>
            </w:rPr>
            <w:fldChar w:fldCharType="end"/>
          </w:r>
        </w:p>
      </w:sdtContent>
    </w:sdt>
    <w:p w14:paraId="74D55970" w14:textId="77777777" w:rsidR="00F36D3A" w:rsidRPr="001B13F9" w:rsidRDefault="00F36D3A" w:rsidP="00F36D3A">
      <w:pPr>
        <w:jc w:val="both"/>
        <w:rPr>
          <w:sz w:val="20"/>
          <w:szCs w:val="20"/>
        </w:rPr>
      </w:pPr>
    </w:p>
    <w:p w14:paraId="37D525E8" w14:textId="77777777" w:rsidR="00F36D3A" w:rsidRPr="00511D77" w:rsidRDefault="00F36D3A" w:rsidP="00F36D3A">
      <w:pPr>
        <w:spacing w:after="120" w:line="276" w:lineRule="auto"/>
        <w:rPr>
          <w:rFonts w:eastAsia="Palatino Linotype"/>
          <w:b/>
          <w:sz w:val="20"/>
        </w:rPr>
      </w:pPr>
    </w:p>
    <w:p w14:paraId="74FA0D3D" w14:textId="051926B5" w:rsidR="00ED6C0D" w:rsidRPr="00502BED" w:rsidRDefault="00ED6C0D" w:rsidP="00893C98">
      <w:pPr>
        <w:spacing w:after="100"/>
        <w:ind w:left="567" w:hanging="567"/>
        <w:jc w:val="both"/>
        <w:rPr>
          <w:rFonts w:ascii="Garamond" w:hAnsi="Garamond" w:cstheme="majorBidi"/>
          <w:sz w:val="26"/>
          <w:szCs w:val="26"/>
        </w:rPr>
      </w:pPr>
    </w:p>
    <w:sectPr w:rsidR="00ED6C0D" w:rsidRPr="00502BED" w:rsidSect="00DE35BF">
      <w:headerReference w:type="default" r:id="rId9"/>
      <w:footerReference w:type="even" r:id="rId10"/>
      <w:footerReference w:type="default" r:id="rId11"/>
      <w:pgSz w:w="11907" w:h="16840" w:code="9"/>
      <w:pgMar w:top="1418" w:right="1418" w:bottom="1418" w:left="1418" w:header="964" w:footer="9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3C3A" w14:textId="77777777" w:rsidR="008674E7" w:rsidRDefault="008674E7" w:rsidP="00AC75B1">
      <w:r>
        <w:separator/>
      </w:r>
    </w:p>
  </w:endnote>
  <w:endnote w:type="continuationSeparator" w:id="0">
    <w:p w14:paraId="1B5EC697" w14:textId="77777777" w:rsidR="008674E7" w:rsidRDefault="008674E7" w:rsidP="00AC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725 Cn BT">
    <w:altName w:val="Cambria"/>
    <w:charset w:val="00"/>
    <w:family w:val="roman"/>
    <w:pitch w:val="variable"/>
    <w:sig w:usb0="800000AF" w:usb1="1000204A" w:usb2="00000000" w:usb3="00000000" w:csb0="00000011" w:csb1="00000000"/>
  </w:font>
  <w:font w:name="Vivaldi">
    <w:panose1 w:val="03020602050506090804"/>
    <w:charset w:val="00"/>
    <w:family w:val="script"/>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Blackletter 686">
    <w:altName w:val="Calibri"/>
    <w:panose1 w:val="00000000000000000000"/>
    <w:charset w:val="00"/>
    <w:family w:val="modern"/>
    <w:notTrueType/>
    <w:pitch w:val="variable"/>
    <w:sig w:usb0="8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070821"/>
      <w:docPartObj>
        <w:docPartGallery w:val="Page Numbers (Bottom of Page)"/>
        <w:docPartUnique/>
      </w:docPartObj>
    </w:sdtPr>
    <w:sdtEndPr>
      <w:rPr>
        <w:i/>
      </w:rPr>
    </w:sdtEndPr>
    <w:sdtContent>
      <w:p w14:paraId="73453F09" w14:textId="77777777" w:rsidR="00D31548" w:rsidRPr="003B5E83" w:rsidRDefault="00D31548" w:rsidP="00AC75B1">
        <w:pPr>
          <w:pStyle w:val="Footer"/>
        </w:pPr>
      </w:p>
      <w:p w14:paraId="429029E4" w14:textId="77777777" w:rsidR="00D31548" w:rsidRPr="003B5E83" w:rsidRDefault="00D31548" w:rsidP="003B5E83">
        <w:pPr>
          <w:pStyle w:val="Footer"/>
          <w:tabs>
            <w:tab w:val="clear" w:pos="9360"/>
          </w:tabs>
          <w:ind w:left="-567"/>
          <w:jc w:val="right"/>
          <w:rPr>
            <w:i/>
          </w:rPr>
        </w:pPr>
        <w:r w:rsidRPr="003B5E83">
          <w:rPr>
            <w:rFonts w:ascii="Garamond" w:hAnsi="Garamond"/>
          </w:rPr>
          <w:fldChar w:fldCharType="begin"/>
        </w:r>
        <w:r w:rsidRPr="003B5E83">
          <w:rPr>
            <w:rFonts w:ascii="Garamond" w:hAnsi="Garamond"/>
          </w:rPr>
          <w:instrText xml:space="preserve"> PAGE   \* MERGEFORMAT </w:instrText>
        </w:r>
        <w:r w:rsidRPr="003B5E83">
          <w:rPr>
            <w:rFonts w:ascii="Garamond" w:hAnsi="Garamond"/>
          </w:rPr>
          <w:fldChar w:fldCharType="separate"/>
        </w:r>
        <w:r>
          <w:rPr>
            <w:rFonts w:ascii="Garamond" w:hAnsi="Garamond"/>
            <w:noProof/>
          </w:rPr>
          <w:t>2</w:t>
        </w:r>
        <w:r w:rsidRPr="003B5E83">
          <w:rPr>
            <w:rFonts w:ascii="Garamond" w:hAnsi="Garamond"/>
          </w:rPr>
          <w:fldChar w:fldCharType="end"/>
        </w:r>
        <w:r w:rsidRPr="003B5E83">
          <w:rPr>
            <w:rFonts w:ascii="Garamond" w:hAnsi="Garamond"/>
          </w:rPr>
          <w:t xml:space="preserve"> </w:t>
        </w:r>
        <w:proofErr w:type="gramStart"/>
        <w:r w:rsidRPr="003B5E83">
          <w:rPr>
            <w:rFonts w:ascii="Garamond" w:hAnsi="Garamond"/>
          </w:rPr>
          <w:t xml:space="preserve">|  </w:t>
        </w:r>
        <w:r>
          <w:rPr>
            <w:rFonts w:ascii="Garamond" w:hAnsi="Garamond"/>
            <w:i/>
            <w:iCs/>
          </w:rPr>
          <w:t>Dinar</w:t>
        </w:r>
        <w:proofErr w:type="gramEnd"/>
        <w:r w:rsidRPr="003B5E83">
          <w:rPr>
            <w:rFonts w:ascii="Garamond" w:hAnsi="Garamond"/>
            <w:i/>
            <w:iCs/>
          </w:rPr>
          <w:t xml:space="preserve">                            </w:t>
        </w:r>
        <w:r w:rsidRPr="003B5E83">
          <w:rPr>
            <w:rFonts w:ascii="Garamond" w:hAnsi="Garamond"/>
            <w:i/>
            <w:iCs/>
            <w:lang w:val="id-ID"/>
          </w:rPr>
          <w:t xml:space="preserve"> </w:t>
        </w:r>
        <w:r w:rsidRPr="003B5E83">
          <w:rPr>
            <w:rFonts w:ascii="Garamond" w:hAnsi="Garamond"/>
            <w:i/>
            <w:iCs/>
          </w:rPr>
          <w:t xml:space="preserve">                            </w:t>
        </w:r>
        <w:r w:rsidRPr="003B5E83">
          <w:rPr>
            <w:rFonts w:ascii="Garamond" w:hAnsi="Garamond"/>
            <w:i/>
          </w:rPr>
          <w:t>Volume VI</w:t>
        </w:r>
        <w:r w:rsidRPr="003B5E83">
          <w:rPr>
            <w:rFonts w:ascii="Garamond" w:hAnsi="Garamond"/>
            <w:i/>
            <w:lang w:val="id-ID"/>
          </w:rPr>
          <w:t>I</w:t>
        </w:r>
        <w:r w:rsidRPr="003B5E83">
          <w:rPr>
            <w:rFonts w:ascii="Garamond" w:hAnsi="Garamond"/>
            <w:i/>
          </w:rPr>
          <w:t xml:space="preserve">/ </w:t>
        </w:r>
        <w:proofErr w:type="spellStart"/>
        <w:r w:rsidRPr="003B5E83">
          <w:rPr>
            <w:rFonts w:ascii="Garamond" w:hAnsi="Garamond"/>
            <w:i/>
          </w:rPr>
          <w:t>Edisi</w:t>
        </w:r>
        <w:proofErr w:type="spellEnd"/>
        <w:r w:rsidRPr="003B5E83">
          <w:rPr>
            <w:rFonts w:ascii="Garamond" w:hAnsi="Garamond"/>
            <w:i/>
          </w:rPr>
          <w:t xml:space="preserve"> 2/</w:t>
        </w:r>
        <w:proofErr w:type="spellStart"/>
        <w:r w:rsidRPr="003B5E83">
          <w:rPr>
            <w:rFonts w:ascii="Garamond" w:hAnsi="Garamond"/>
            <w:i/>
          </w:rPr>
          <w:t>Oktober</w:t>
        </w:r>
        <w:proofErr w:type="spellEnd"/>
        <w:r w:rsidRPr="003B5E83">
          <w:rPr>
            <w:rFonts w:ascii="Garamond" w:hAnsi="Garamond"/>
            <w:i/>
          </w:rPr>
          <w:t xml:space="preserve"> 2016</w:t>
        </w:r>
      </w:p>
    </w:sdtContent>
  </w:sdt>
  <w:p w14:paraId="2FA3EE2A" w14:textId="77777777" w:rsidR="00D31548" w:rsidRPr="003B5E83" w:rsidRDefault="00D31548" w:rsidP="00AC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rPr>
      <w:id w:val="-346645237"/>
      <w:docPartObj>
        <w:docPartGallery w:val="Page Numbers (Bottom of Page)"/>
        <w:docPartUnique/>
      </w:docPartObj>
    </w:sdtPr>
    <w:sdtContent>
      <w:sdt>
        <w:sdtPr>
          <w:rPr>
            <w:rFonts w:ascii="Garamond" w:hAnsi="Garamond"/>
          </w:rPr>
          <w:id w:val="362258668"/>
          <w:docPartObj>
            <w:docPartGallery w:val="Page Numbers (Bottom of Page)"/>
            <w:docPartUnique/>
          </w:docPartObj>
        </w:sdtPr>
        <w:sdtContent>
          <w:p w14:paraId="47201493" w14:textId="77777777" w:rsidR="00D31548" w:rsidRPr="005B03CC" w:rsidRDefault="00D31548" w:rsidP="005B03CC">
            <w:pPr>
              <w:pStyle w:val="Footer"/>
              <w:spacing w:before="120"/>
              <w:ind w:right="-85"/>
              <w:jc w:val="right"/>
              <w:rPr>
                <w:rFonts w:ascii="Garamond" w:hAnsi="Garamond"/>
              </w:rPr>
            </w:pPr>
            <w:r>
              <w:rPr>
                <w:rFonts w:ascii="Blackletter 686" w:hAnsi="Blackletter 686"/>
                <w:iCs/>
                <w:noProof/>
                <w:sz w:val="40"/>
                <w:szCs w:val="40"/>
                <w:lang w:val="id-ID" w:eastAsia="id-ID"/>
              </w:rPr>
              <mc:AlternateContent>
                <mc:Choice Requires="wps">
                  <w:drawing>
                    <wp:anchor distT="0" distB="0" distL="114300" distR="114300" simplePos="0" relativeHeight="251667456" behindDoc="0" locked="0" layoutInCell="1" allowOverlap="1" wp14:anchorId="0901E1B3" wp14:editId="283C4F58">
                      <wp:simplePos x="0" y="0"/>
                      <wp:positionH relativeFrom="column">
                        <wp:posOffset>-43180</wp:posOffset>
                      </wp:positionH>
                      <wp:positionV relativeFrom="paragraph">
                        <wp:posOffset>80010</wp:posOffset>
                      </wp:positionV>
                      <wp:extent cx="592963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5929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510B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pt,6.3pt" to="46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" strokecolor="black [3040]"/>
                  </w:pict>
                </mc:Fallback>
              </mc:AlternateContent>
            </w:r>
            <w:r w:rsidRPr="005B03CC">
              <w:rPr>
                <w:rFonts w:ascii="Blackletter 686" w:hAnsi="Blackletter 686"/>
                <w:iCs/>
                <w:sz w:val="40"/>
                <w:szCs w:val="40"/>
                <w:lang w:val="id-ID"/>
              </w:rPr>
              <w:t>Dinar</w:t>
            </w:r>
            <w:r w:rsidRPr="005B03CC">
              <w:rPr>
                <w:rFonts w:ascii="Garamond" w:hAnsi="Garamond"/>
                <w:iCs/>
                <w:lang w:val="id-ID"/>
              </w:rPr>
              <w:t>:</w:t>
            </w:r>
            <w:r>
              <w:rPr>
                <w:rFonts w:ascii="Garamond" w:hAnsi="Garamond"/>
                <w:i/>
                <w:lang w:val="id-ID"/>
              </w:rPr>
              <w:t xml:space="preserve"> </w:t>
            </w:r>
            <w:r w:rsidRPr="005B03CC">
              <w:rPr>
                <w:rFonts w:ascii="Vivaldi" w:hAnsi="Vivaldi"/>
                <w:i/>
                <w:lang w:val="id-ID"/>
              </w:rPr>
              <w:t>Jurnal Ekonomi dan Keuangan Islam</w:t>
            </w:r>
            <w:r w:rsidRPr="005B03CC">
              <w:rPr>
                <w:rFonts w:ascii="Vivaldi" w:hAnsi="Vivaldi"/>
                <w:i/>
              </w:rPr>
              <w:t xml:space="preserve"> </w:t>
            </w:r>
            <w:r w:rsidRPr="005B03CC">
              <w:rPr>
                <w:rFonts w:ascii="Vivaldi" w:hAnsi="Vivaldi"/>
              </w:rPr>
              <w:t xml:space="preserve"> </w:t>
            </w:r>
            <w:r w:rsidRPr="003B5E83">
              <w:rPr>
                <w:rFonts w:ascii="Garamond" w:hAnsi="Garamond"/>
              </w:rPr>
              <w:t xml:space="preserve">| </w:t>
            </w:r>
            <w:r w:rsidRPr="003B5E83">
              <w:rPr>
                <w:rFonts w:ascii="Garamond" w:hAnsi="Garamond"/>
              </w:rPr>
              <w:fldChar w:fldCharType="begin"/>
            </w:r>
            <w:r w:rsidRPr="003B5E83">
              <w:rPr>
                <w:rFonts w:ascii="Garamond" w:hAnsi="Garamond"/>
              </w:rPr>
              <w:instrText xml:space="preserve"> PAGE   \* MERGEFORMAT </w:instrText>
            </w:r>
            <w:r w:rsidRPr="003B5E83">
              <w:rPr>
                <w:rFonts w:ascii="Garamond" w:hAnsi="Garamond"/>
              </w:rPr>
              <w:fldChar w:fldCharType="separate"/>
            </w:r>
            <w:r>
              <w:rPr>
                <w:rFonts w:ascii="Garamond" w:hAnsi="Garamond"/>
                <w:noProof/>
              </w:rPr>
              <w:t>2</w:t>
            </w:r>
            <w:r w:rsidRPr="003B5E83">
              <w:rPr>
                <w:rFonts w:ascii="Garamond" w:hAnsi="Garamond"/>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C781C" w14:textId="77777777" w:rsidR="008674E7" w:rsidRDefault="008674E7" w:rsidP="00AC75B1">
      <w:r>
        <w:separator/>
      </w:r>
    </w:p>
  </w:footnote>
  <w:footnote w:type="continuationSeparator" w:id="0">
    <w:p w14:paraId="4D7B88DF" w14:textId="77777777" w:rsidR="008674E7" w:rsidRDefault="008674E7" w:rsidP="00AC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9F2A" w14:textId="77777777" w:rsidR="00D31548" w:rsidRPr="006B51AA" w:rsidRDefault="00D31548" w:rsidP="00F80F60">
    <w:pPr>
      <w:pStyle w:val="Header"/>
      <w:tabs>
        <w:tab w:val="clear" w:pos="4680"/>
        <w:tab w:val="center" w:pos="6379"/>
      </w:tabs>
      <w:spacing w:before="120"/>
      <w:rPr>
        <w:rFonts w:ascii="Vivaldi" w:eastAsia="BatangChe" w:hAnsi="Vivaldi"/>
        <w:b/>
        <w:bCs/>
        <w:i/>
        <w:iCs/>
        <w:sz w:val="22"/>
        <w:szCs w:val="20"/>
        <w:lang w:val="id-ID"/>
      </w:rPr>
    </w:pPr>
    <w:r>
      <w:rPr>
        <w:noProof/>
      </w:rPr>
      <mc:AlternateContent>
        <mc:Choice Requires="wps">
          <w:drawing>
            <wp:anchor distT="0" distB="0" distL="114300" distR="114300" simplePos="0" relativeHeight="251666432" behindDoc="0" locked="0" layoutInCell="1" allowOverlap="1" wp14:anchorId="0CE68AB4" wp14:editId="0363D337">
              <wp:simplePos x="0" y="0"/>
              <wp:positionH relativeFrom="column">
                <wp:posOffset>-105299</wp:posOffset>
              </wp:positionH>
              <wp:positionV relativeFrom="paragraph">
                <wp:posOffset>-309990</wp:posOffset>
              </wp:positionV>
              <wp:extent cx="1105232" cy="71501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1105232" cy="715010"/>
                      </a:xfrm>
                      <a:prstGeom prst="rect">
                        <a:avLst/>
                      </a:prstGeom>
                      <a:noFill/>
                      <a:ln>
                        <a:noFill/>
                      </a:ln>
                      <a:effectLst/>
                    </wps:spPr>
                    <wps:txbx>
                      <w:txbxContent>
                        <w:p w14:paraId="2CBCA91A" w14:textId="77777777" w:rsidR="00D31548" w:rsidRPr="00311E14" w:rsidRDefault="00D31548" w:rsidP="005B03CC">
                          <w:pPr>
                            <w:pStyle w:val="Header"/>
                            <w:tabs>
                              <w:tab w:val="center" w:pos="6663"/>
                            </w:tabs>
                            <w:jc w:val="both"/>
                            <w:rPr>
                              <w:rFonts w:ascii="Blackletter 686" w:hAnsi="Blackletter 686"/>
                              <w:b/>
                              <w:noProof/>
                              <w:sz w:val="60"/>
                              <w:szCs w:val="60"/>
                              <w:lang w:val="id-ID"/>
                              <w14:textOutline w14:w="10541" w14:cap="flat" w14:cmpd="sng" w14:algn="ctr">
                                <w14:solidFill>
                                  <w14:schemeClr w14:val="tx1"/>
                                </w14:solidFill>
                                <w14:prstDash w14:val="solid"/>
                                <w14:round/>
                              </w14:textOutline>
                            </w:rPr>
                          </w:pPr>
                          <w:r w:rsidRPr="00311E14">
                            <w:rPr>
                              <w:rFonts w:ascii="Blackletter 686" w:hAnsi="Blackletter 686"/>
                              <w:b/>
                              <w:noProof/>
                              <w:sz w:val="60"/>
                              <w:szCs w:val="60"/>
                              <w:lang w:val="id-ID"/>
                              <w14:textOutline w14:w="10541" w14:cap="flat" w14:cmpd="sng" w14:algn="ctr">
                                <w14:solidFill>
                                  <w14:schemeClr w14:val="tx1"/>
                                </w14:solidFill>
                                <w14:prstDash w14:val="solid"/>
                                <w14:round/>
                              </w14:textOutline>
                            </w:rPr>
                            <w:t>Dinar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68AB4" id="_x0000_t202" coordsize="21600,21600" o:spt="202" path="m,l,21600r21600,l21600,xe">
              <v:stroke joinstyle="miter"/>
              <v:path gradientshapeok="t" o:connecttype="rect"/>
            </v:shapetype>
            <v:shape id="Text Box 1" o:spid="_x0000_s1026" type="#_x0000_t202" style="position:absolute;margin-left:-8.3pt;margin-top:-24.4pt;width:87.05pt;height:5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" filled="f" stroked="f">
              <v:textbox>
                <w:txbxContent>
                  <w:p w14:paraId="2CBCA91A" w14:textId="77777777" w:rsidR="00D31548" w:rsidRPr="00311E14" w:rsidRDefault="00D31548" w:rsidP="005B03CC">
                    <w:pPr>
                      <w:pStyle w:val="Header"/>
                      <w:tabs>
                        <w:tab w:val="center" w:pos="6663"/>
                      </w:tabs>
                      <w:jc w:val="both"/>
                      <w:rPr>
                        <w:rFonts w:ascii="Blackletter 686" w:hAnsi="Blackletter 686"/>
                        <w:b/>
                        <w:noProof/>
                        <w:sz w:val="60"/>
                        <w:szCs w:val="60"/>
                        <w:lang w:val="id-ID"/>
                        <w14:textOutline w14:w="10541" w14:cap="flat" w14:cmpd="sng" w14:algn="ctr">
                          <w14:solidFill>
                            <w14:schemeClr w14:val="tx1"/>
                          </w14:solidFill>
                          <w14:prstDash w14:val="solid"/>
                          <w14:round/>
                        </w14:textOutline>
                      </w:rPr>
                    </w:pPr>
                    <w:r w:rsidRPr="00311E14">
                      <w:rPr>
                        <w:rFonts w:ascii="Blackletter 686" w:hAnsi="Blackletter 686"/>
                        <w:b/>
                        <w:noProof/>
                        <w:sz w:val="60"/>
                        <w:szCs w:val="60"/>
                        <w:lang w:val="id-ID"/>
                        <w14:textOutline w14:w="10541" w14:cap="flat" w14:cmpd="sng" w14:algn="ctr">
                          <w14:solidFill>
                            <w14:schemeClr w14:val="tx1"/>
                          </w14:solidFill>
                          <w14:prstDash w14:val="solid"/>
                          <w14:round/>
                        </w14:textOutline>
                      </w:rPr>
                      <w:t>Dinar</w:t>
                    </w:r>
                  </w:p>
                </w:txbxContent>
              </v:textbox>
            </v:shape>
          </w:pict>
        </mc:Fallback>
      </mc:AlternateContent>
    </w:r>
    <w:r>
      <w:rPr>
        <w:rFonts w:ascii="Vivaldi" w:eastAsia="BatangChe" w:hAnsi="Vivaldi"/>
        <w:b/>
        <w:bCs/>
        <w:szCs w:val="22"/>
        <w:lang w:val="id-ID"/>
      </w:rPr>
      <w:t xml:space="preserve"> </w:t>
    </w:r>
    <w:proofErr w:type="spellStart"/>
    <w:r w:rsidRPr="004C7ADB">
      <w:rPr>
        <w:rFonts w:ascii="Vivaldi" w:eastAsia="BatangChe" w:hAnsi="Vivaldi"/>
        <w:b/>
        <w:bCs/>
        <w:sz w:val="22"/>
        <w:szCs w:val="20"/>
      </w:rPr>
      <w:t>Jurnal</w:t>
    </w:r>
    <w:proofErr w:type="spellEnd"/>
    <w:r w:rsidRPr="004C7ADB">
      <w:rPr>
        <w:rFonts w:ascii="Vivaldi" w:eastAsia="BatangChe" w:hAnsi="Vivaldi"/>
        <w:b/>
        <w:bCs/>
        <w:sz w:val="22"/>
        <w:szCs w:val="20"/>
      </w:rPr>
      <w:t xml:space="preserve"> </w:t>
    </w:r>
    <w:proofErr w:type="spellStart"/>
    <w:r w:rsidRPr="004C7ADB">
      <w:rPr>
        <w:rFonts w:ascii="Vivaldi" w:eastAsia="BatangChe" w:hAnsi="Vivaldi"/>
        <w:b/>
        <w:bCs/>
        <w:sz w:val="22"/>
        <w:szCs w:val="20"/>
      </w:rPr>
      <w:t>Ekonomi</w:t>
    </w:r>
    <w:proofErr w:type="spellEnd"/>
    <w:r w:rsidRPr="004C7ADB">
      <w:rPr>
        <w:rFonts w:ascii="Vivaldi" w:eastAsia="BatangChe" w:hAnsi="Vivaldi"/>
        <w:b/>
        <w:bCs/>
        <w:sz w:val="22"/>
        <w:szCs w:val="20"/>
      </w:rPr>
      <w:t xml:space="preserve"> &amp; </w:t>
    </w:r>
    <w:proofErr w:type="spellStart"/>
    <w:r w:rsidRPr="004C7ADB">
      <w:rPr>
        <w:rFonts w:ascii="Vivaldi" w:eastAsia="BatangChe" w:hAnsi="Vivaldi"/>
        <w:b/>
        <w:bCs/>
        <w:sz w:val="22"/>
        <w:szCs w:val="20"/>
      </w:rPr>
      <w:t>Keuangan</w:t>
    </w:r>
    <w:proofErr w:type="spellEnd"/>
    <w:r w:rsidRPr="004C7ADB">
      <w:rPr>
        <w:rFonts w:ascii="Vivaldi" w:eastAsia="BatangChe" w:hAnsi="Vivaldi"/>
        <w:b/>
        <w:bCs/>
        <w:sz w:val="22"/>
        <w:szCs w:val="20"/>
      </w:rPr>
      <w:t xml:space="preserve"> Islam</w:t>
    </w:r>
    <w:r w:rsidRPr="006B51AA">
      <w:rPr>
        <w:rFonts w:ascii="Century725 Cn BT" w:eastAsia="BatangChe" w:hAnsi="Century725 Cn BT"/>
        <w:b/>
        <w:bCs/>
      </w:rPr>
      <w:tab/>
    </w:r>
    <w:r>
      <w:rPr>
        <w:rFonts w:ascii="Century725 Cn BT" w:eastAsia="BatangChe" w:hAnsi="Century725 Cn BT"/>
        <w:b/>
        <w:bCs/>
        <w:lang w:val="id-ID"/>
      </w:rPr>
      <w:t xml:space="preserve">                                     </w:t>
    </w:r>
    <w:r>
      <w:rPr>
        <w:rFonts w:ascii="Century725 Cn BT" w:eastAsia="BatangChe" w:hAnsi="Century725 Cn BT"/>
        <w:b/>
        <w:bCs/>
      </w:rPr>
      <w:t>Dinar.</w:t>
    </w:r>
    <w:r>
      <w:rPr>
        <w:rFonts w:ascii="Century725 Cn BT" w:eastAsia="BatangChe" w:hAnsi="Century725 Cn BT"/>
        <w:b/>
        <w:bCs/>
        <w:lang w:val="id-ID"/>
      </w:rPr>
      <w:t xml:space="preserve"> </w:t>
    </w:r>
    <w:r>
      <w:rPr>
        <w:rFonts w:ascii="Century725 Cn BT" w:eastAsia="BatangChe" w:hAnsi="Century725 Cn BT"/>
        <w:b/>
        <w:bCs/>
      </w:rPr>
      <w:t>Vol 6</w:t>
    </w:r>
    <w:r w:rsidRPr="00F80F60">
      <w:rPr>
        <w:rFonts w:ascii="Century725 Cn BT" w:eastAsia="BatangChe" w:hAnsi="Century725 Cn BT"/>
        <w:lang w:val="id-ID"/>
      </w:rPr>
      <w:t>,</w:t>
    </w:r>
    <w:r>
      <w:rPr>
        <w:rFonts w:ascii="Century725 Cn BT" w:eastAsia="BatangChe" w:hAnsi="Century725 Cn BT"/>
        <w:b/>
        <w:bCs/>
        <w:lang w:val="id-ID"/>
      </w:rPr>
      <w:t xml:space="preserve"> </w:t>
    </w:r>
    <w:r>
      <w:rPr>
        <w:rFonts w:ascii="Century725 Cn BT" w:eastAsia="BatangChe" w:hAnsi="Century725 Cn BT"/>
        <w:b/>
        <w:bCs/>
      </w:rPr>
      <w:t>No 2</w:t>
    </w:r>
    <w:r>
      <w:rPr>
        <w:rFonts w:ascii="Century725 Cn BT" w:eastAsia="BatangChe" w:hAnsi="Century725 Cn BT"/>
        <w:b/>
        <w:bCs/>
        <w:lang w:val="id-ID"/>
      </w:rPr>
      <w:t xml:space="preserve">: </w:t>
    </w:r>
    <w:proofErr w:type="spellStart"/>
    <w:r>
      <w:rPr>
        <w:rFonts w:ascii="Century725 Cn BT" w:eastAsia="BatangChe" w:hAnsi="Century725 Cn BT"/>
        <w:b/>
        <w:bCs/>
      </w:rPr>
      <w:t>Agustus</w:t>
    </w:r>
    <w:proofErr w:type="spellEnd"/>
    <w:r>
      <w:rPr>
        <w:rFonts w:ascii="Century725 Cn BT" w:eastAsia="BatangChe" w:hAnsi="Century725 Cn BT"/>
        <w:b/>
        <w:bCs/>
        <w:lang w:val="id-ID"/>
      </w:rPr>
      <w:t xml:space="preserve"> </w:t>
    </w:r>
    <w:r>
      <w:rPr>
        <w:rFonts w:ascii="Century725 Cn BT" w:eastAsia="BatangChe" w:hAnsi="Century725 Cn BT"/>
        <w:b/>
        <w:bCs/>
      </w:rPr>
      <w:t>2019</w:t>
    </w:r>
    <w:r>
      <w:rPr>
        <w:rFonts w:ascii="Century725 Cn BT" w:eastAsia="BatangChe" w:hAnsi="Century725 Cn BT"/>
        <w:b/>
        <w:bCs/>
        <w:lang w:val="id-ID"/>
      </w:rPr>
      <w:t>.</w:t>
    </w:r>
    <w:r>
      <w:rPr>
        <w:rFonts w:ascii="Century725 Cn BT" w:eastAsia="BatangChe" w:hAnsi="Century725 Cn BT"/>
        <w:b/>
        <w:bCs/>
      </w:rPr>
      <w:t xml:space="preserve"> </w:t>
    </w:r>
    <w:r>
      <w:rPr>
        <w:rFonts w:ascii="Century725 Cn BT" w:eastAsia="BatangChe" w:hAnsi="Century725 Cn BT"/>
        <w:b/>
        <w:bCs/>
        <w:lang w:val="id-ID"/>
      </w:rPr>
      <w:t>00</w:t>
    </w:r>
    <w:r>
      <w:rPr>
        <w:rFonts w:ascii="Century725 Cn BT" w:eastAsia="BatangChe" w:hAnsi="Century725 Cn BT"/>
        <w:b/>
        <w:bCs/>
      </w:rPr>
      <w:t>-</w:t>
    </w:r>
    <w:r>
      <w:rPr>
        <w:rFonts w:ascii="Century725 Cn BT" w:eastAsia="BatangChe" w:hAnsi="Century725 Cn BT"/>
        <w:b/>
        <w:bCs/>
        <w:lang w:val="id-ID"/>
      </w:rPr>
      <w:t>00</w:t>
    </w:r>
  </w:p>
  <w:p w14:paraId="4A7CCBA0" w14:textId="77777777" w:rsidR="00D31548" w:rsidRPr="006B51AA" w:rsidRDefault="00D31548" w:rsidP="00F80F60">
    <w:pPr>
      <w:pStyle w:val="Header"/>
      <w:tabs>
        <w:tab w:val="clear" w:pos="4680"/>
        <w:tab w:val="center" w:pos="5529"/>
        <w:tab w:val="center" w:pos="6237"/>
      </w:tabs>
      <w:spacing w:line="276" w:lineRule="auto"/>
      <w:rPr>
        <w:szCs w:val="22"/>
        <w:lang w:val="id-ID"/>
      </w:rPr>
    </w:pPr>
    <w:hyperlink r:id="rId1" w:history="1">
      <w:r w:rsidRPr="006B51AA">
        <w:rPr>
          <w:rStyle w:val="Hyperlink"/>
          <w:rFonts w:ascii="Century725 Cn BT" w:hAnsi="Century725 Cn BT"/>
          <w:szCs w:val="22"/>
          <w:u w:val="none"/>
          <w:lang w:val="id-ID"/>
        </w:rPr>
        <w:t>https://journal.trunojoyo.ac.id/dinar/index</w:t>
      </w:r>
    </w:hyperlink>
    <w:r>
      <w:rPr>
        <w:szCs w:val="22"/>
        <w:lang w:val="id-ID"/>
      </w:rPr>
      <w:tab/>
    </w:r>
    <w:r>
      <w:rPr>
        <w:szCs w:val="22"/>
        <w:lang w:val="id-ID"/>
      </w:rPr>
      <w:tab/>
      <w:t xml:space="preserve"> </w:t>
    </w:r>
    <w:r w:rsidRPr="006B51AA">
      <w:rPr>
        <w:b/>
        <w:bCs/>
        <w:szCs w:val="22"/>
        <w:lang w:val="id-ID"/>
      </w:rPr>
      <w:t>ISSN: 2460-9889 (Cetak)</w:t>
    </w:r>
  </w:p>
  <w:p w14:paraId="309C89E6" w14:textId="77777777" w:rsidR="00D31548" w:rsidRPr="00E710A6" w:rsidRDefault="00D31548" w:rsidP="00F80F60">
    <w:pPr>
      <w:pStyle w:val="Header"/>
      <w:tabs>
        <w:tab w:val="clear" w:pos="4680"/>
        <w:tab w:val="center" w:pos="6804"/>
      </w:tabs>
      <w:spacing w:after="160"/>
      <w:rPr>
        <w:szCs w:val="22"/>
        <w:lang w:val="id-ID"/>
      </w:rPr>
    </w:pPr>
    <w:r>
      <w:rPr>
        <w:rFonts w:ascii="Century725 Cn BT" w:hAnsi="Century725 Cn BT"/>
        <w:noProof/>
        <w:lang w:val="id-ID" w:eastAsia="id-ID"/>
      </w:rPr>
      <mc:AlternateContent>
        <mc:Choice Requires="wps">
          <w:drawing>
            <wp:anchor distT="0" distB="0" distL="114300" distR="114300" simplePos="0" relativeHeight="251664384" behindDoc="0" locked="0" layoutInCell="1" allowOverlap="1" wp14:anchorId="27AAA4D2" wp14:editId="5881DCD6">
              <wp:simplePos x="0" y="0"/>
              <wp:positionH relativeFrom="column">
                <wp:posOffset>-79375</wp:posOffset>
              </wp:positionH>
              <wp:positionV relativeFrom="paragraph">
                <wp:posOffset>234950</wp:posOffset>
              </wp:positionV>
              <wp:extent cx="5986780" cy="0"/>
              <wp:effectExtent l="0" t="0" r="13970" b="19050"/>
              <wp:wrapNone/>
              <wp:docPr id="7" name="Straight Connector 7"/>
              <wp:cNvGraphicFramePr/>
              <a:graphic xmlns:a="http://schemas.openxmlformats.org/drawingml/2006/main">
                <a:graphicData uri="http://schemas.microsoft.com/office/word/2010/wordprocessingShape">
                  <wps:wsp>
                    <wps:cNvCnPr/>
                    <wps:spPr>
                      <a:xfrm>
                        <a:off x="0" y="0"/>
                        <a:ext cx="598678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237B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8.5pt" to="465.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" strokecolor="black [3040]" strokeweight="1.5pt"/>
          </w:pict>
        </mc:Fallback>
      </mc:AlternateContent>
    </w:r>
    <w:r w:rsidRPr="006B51AA">
      <w:rPr>
        <w:b/>
        <w:bCs/>
        <w:szCs w:val="22"/>
        <w:lang w:val="id-ID"/>
      </w:rPr>
      <w:t>DOI: </w:t>
    </w:r>
    <w:hyperlink r:id="rId2" w:history="1">
      <w:r w:rsidRPr="006B51AA">
        <w:rPr>
          <w:szCs w:val="22"/>
          <w:lang w:val="id-ID"/>
        </w:rPr>
        <w:t>https://doi.org/10.21107/dinar</w:t>
      </w:r>
    </w:hyperlink>
    <w:r>
      <w:rPr>
        <w:b/>
        <w:bCs/>
        <w:szCs w:val="22"/>
        <w:lang w:val="id-ID"/>
      </w:rPr>
      <w:tab/>
      <w:t xml:space="preserve">   ISSN: 2580-3565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1C07"/>
    <w:multiLevelType w:val="hybridMultilevel"/>
    <w:tmpl w:val="C6A8A2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0217B88"/>
    <w:multiLevelType w:val="hybridMultilevel"/>
    <w:tmpl w:val="7B0626F8"/>
    <w:lvl w:ilvl="0" w:tplc="0B506F76">
      <w:start w:val="1"/>
      <w:numFmt w:val="decimal"/>
      <w:lvlText w:val="%1."/>
      <w:lvlJc w:val="left"/>
      <w:pPr>
        <w:ind w:left="720" w:hanging="360"/>
      </w:pPr>
      <w:rPr>
        <w:rFonts w:cstheme="maj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6E4D3C"/>
    <w:multiLevelType w:val="hybridMultilevel"/>
    <w:tmpl w:val="E23A67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1A11B99"/>
    <w:multiLevelType w:val="hybridMultilevel"/>
    <w:tmpl w:val="6456B1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34E6997"/>
    <w:multiLevelType w:val="hybridMultilevel"/>
    <w:tmpl w:val="471A2602"/>
    <w:lvl w:ilvl="0" w:tplc="0421000F">
      <w:start w:val="1"/>
      <w:numFmt w:val="decimal"/>
      <w:lvlText w:val="%1."/>
      <w:lvlJc w:val="left"/>
      <w:pPr>
        <w:ind w:left="2127" w:hanging="360"/>
      </w:pPr>
    </w:lvl>
    <w:lvl w:ilvl="1" w:tplc="04210019">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5" w15:restartNumberingAfterBreak="0">
    <w:nsid w:val="3563532E"/>
    <w:multiLevelType w:val="hybridMultilevel"/>
    <w:tmpl w:val="6C28DB52"/>
    <w:lvl w:ilvl="0" w:tplc="575CE0C2">
      <w:start w:val="1"/>
      <w:numFmt w:val="decimal"/>
      <w:lvlText w:val="%1."/>
      <w:lvlJc w:val="left"/>
      <w:pPr>
        <w:ind w:left="2127" w:hanging="360"/>
      </w:pPr>
      <w:rPr>
        <w:rFonts w:ascii="Garamond" w:eastAsia="Times New Roman" w:hAnsi="Garamond" w:cstheme="majorBidi"/>
      </w:rPr>
    </w:lvl>
    <w:lvl w:ilvl="1" w:tplc="04210019" w:tentative="1">
      <w:start w:val="1"/>
      <w:numFmt w:val="lowerLetter"/>
      <w:lvlText w:val="%2."/>
      <w:lvlJc w:val="left"/>
      <w:pPr>
        <w:ind w:left="2847" w:hanging="360"/>
      </w:pPr>
    </w:lvl>
    <w:lvl w:ilvl="2" w:tplc="0421001B" w:tentative="1">
      <w:start w:val="1"/>
      <w:numFmt w:val="lowerRoman"/>
      <w:lvlText w:val="%3."/>
      <w:lvlJc w:val="right"/>
      <w:pPr>
        <w:ind w:left="3567" w:hanging="180"/>
      </w:pPr>
    </w:lvl>
    <w:lvl w:ilvl="3" w:tplc="0421000F" w:tentative="1">
      <w:start w:val="1"/>
      <w:numFmt w:val="decimal"/>
      <w:lvlText w:val="%4."/>
      <w:lvlJc w:val="left"/>
      <w:pPr>
        <w:ind w:left="4287" w:hanging="360"/>
      </w:pPr>
    </w:lvl>
    <w:lvl w:ilvl="4" w:tplc="04210019" w:tentative="1">
      <w:start w:val="1"/>
      <w:numFmt w:val="lowerLetter"/>
      <w:lvlText w:val="%5."/>
      <w:lvlJc w:val="left"/>
      <w:pPr>
        <w:ind w:left="5007" w:hanging="360"/>
      </w:pPr>
    </w:lvl>
    <w:lvl w:ilvl="5" w:tplc="0421001B" w:tentative="1">
      <w:start w:val="1"/>
      <w:numFmt w:val="lowerRoman"/>
      <w:lvlText w:val="%6."/>
      <w:lvlJc w:val="right"/>
      <w:pPr>
        <w:ind w:left="5727" w:hanging="180"/>
      </w:pPr>
    </w:lvl>
    <w:lvl w:ilvl="6" w:tplc="0421000F" w:tentative="1">
      <w:start w:val="1"/>
      <w:numFmt w:val="decimal"/>
      <w:lvlText w:val="%7."/>
      <w:lvlJc w:val="left"/>
      <w:pPr>
        <w:ind w:left="6447" w:hanging="360"/>
      </w:pPr>
    </w:lvl>
    <w:lvl w:ilvl="7" w:tplc="04210019" w:tentative="1">
      <w:start w:val="1"/>
      <w:numFmt w:val="lowerLetter"/>
      <w:lvlText w:val="%8."/>
      <w:lvlJc w:val="left"/>
      <w:pPr>
        <w:ind w:left="7167" w:hanging="360"/>
      </w:pPr>
    </w:lvl>
    <w:lvl w:ilvl="8" w:tplc="0421001B" w:tentative="1">
      <w:start w:val="1"/>
      <w:numFmt w:val="lowerRoman"/>
      <w:lvlText w:val="%9."/>
      <w:lvlJc w:val="right"/>
      <w:pPr>
        <w:ind w:left="7887" w:hanging="180"/>
      </w:pPr>
    </w:lvl>
  </w:abstractNum>
  <w:abstractNum w:abstractNumId="6" w15:restartNumberingAfterBreak="0">
    <w:nsid w:val="38595AFC"/>
    <w:multiLevelType w:val="hybridMultilevel"/>
    <w:tmpl w:val="4CDE6F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55B7053"/>
    <w:multiLevelType w:val="hybridMultilevel"/>
    <w:tmpl w:val="510A467E"/>
    <w:lvl w:ilvl="0" w:tplc="04090019">
      <w:start w:val="1"/>
      <w:numFmt w:val="upperLetter"/>
      <w:pStyle w:val="Subtitle"/>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5941BC"/>
    <w:multiLevelType w:val="hybridMultilevel"/>
    <w:tmpl w:val="6BFC0F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4DF5937"/>
    <w:multiLevelType w:val="hybridMultilevel"/>
    <w:tmpl w:val="AAB2F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32D0"/>
    <w:multiLevelType w:val="hybridMultilevel"/>
    <w:tmpl w:val="E7982F62"/>
    <w:lvl w:ilvl="0" w:tplc="A2BED06A">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E717AF4"/>
    <w:multiLevelType w:val="hybridMultilevel"/>
    <w:tmpl w:val="8752F7F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7"/>
  </w:num>
  <w:num w:numId="2">
    <w:abstractNumId w:val="0"/>
  </w:num>
  <w:num w:numId="3">
    <w:abstractNumId w:val="4"/>
  </w:num>
  <w:num w:numId="4">
    <w:abstractNumId w:val="5"/>
  </w:num>
  <w:num w:numId="5">
    <w:abstractNumId w:val="11"/>
  </w:num>
  <w:num w:numId="6">
    <w:abstractNumId w:val="10"/>
  </w:num>
  <w:num w:numId="7">
    <w:abstractNumId w:val="9"/>
  </w:num>
  <w:num w:numId="8">
    <w:abstractNumId w:val="1"/>
  </w:num>
  <w:num w:numId="9">
    <w:abstractNumId w:val="2"/>
  </w:num>
  <w:num w:numId="10">
    <w:abstractNumId w:val="3"/>
  </w:num>
  <w:num w:numId="11">
    <w:abstractNumId w:val="6"/>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B1"/>
    <w:rsid w:val="00004B3D"/>
    <w:rsid w:val="0001769C"/>
    <w:rsid w:val="00023986"/>
    <w:rsid w:val="0003337B"/>
    <w:rsid w:val="00050231"/>
    <w:rsid w:val="0005301B"/>
    <w:rsid w:val="00056063"/>
    <w:rsid w:val="000718D9"/>
    <w:rsid w:val="000777AB"/>
    <w:rsid w:val="00084BA8"/>
    <w:rsid w:val="00097462"/>
    <w:rsid w:val="000A1E28"/>
    <w:rsid w:val="000A5F1B"/>
    <w:rsid w:val="000B6DDA"/>
    <w:rsid w:val="000C0818"/>
    <w:rsid w:val="000E4499"/>
    <w:rsid w:val="000E61AE"/>
    <w:rsid w:val="00131A5E"/>
    <w:rsid w:val="001377E0"/>
    <w:rsid w:val="00140073"/>
    <w:rsid w:val="00150EF8"/>
    <w:rsid w:val="0015767A"/>
    <w:rsid w:val="0016110D"/>
    <w:rsid w:val="001653CB"/>
    <w:rsid w:val="00166406"/>
    <w:rsid w:val="00175DF0"/>
    <w:rsid w:val="00177B7C"/>
    <w:rsid w:val="00180345"/>
    <w:rsid w:val="0019022D"/>
    <w:rsid w:val="001932F4"/>
    <w:rsid w:val="00193B03"/>
    <w:rsid w:val="001960C6"/>
    <w:rsid w:val="001B1856"/>
    <w:rsid w:val="001C6A6E"/>
    <w:rsid w:val="001D6066"/>
    <w:rsid w:val="001D7EA6"/>
    <w:rsid w:val="001F356E"/>
    <w:rsid w:val="002053E2"/>
    <w:rsid w:val="0020551B"/>
    <w:rsid w:val="00216F68"/>
    <w:rsid w:val="002365B0"/>
    <w:rsid w:val="00247E10"/>
    <w:rsid w:val="002574EB"/>
    <w:rsid w:val="00274D41"/>
    <w:rsid w:val="002A5830"/>
    <w:rsid w:val="002A6DCF"/>
    <w:rsid w:val="002B0A29"/>
    <w:rsid w:val="002B7862"/>
    <w:rsid w:val="002D445A"/>
    <w:rsid w:val="002E5F23"/>
    <w:rsid w:val="002F10C9"/>
    <w:rsid w:val="002F7392"/>
    <w:rsid w:val="00311E14"/>
    <w:rsid w:val="003203D5"/>
    <w:rsid w:val="00356DF8"/>
    <w:rsid w:val="003664C9"/>
    <w:rsid w:val="00374214"/>
    <w:rsid w:val="00382BC8"/>
    <w:rsid w:val="0038409E"/>
    <w:rsid w:val="003A74AD"/>
    <w:rsid w:val="003B2B8E"/>
    <w:rsid w:val="003B5E83"/>
    <w:rsid w:val="003C0E4C"/>
    <w:rsid w:val="003C0F1C"/>
    <w:rsid w:val="003C7952"/>
    <w:rsid w:val="003D5C31"/>
    <w:rsid w:val="003E5238"/>
    <w:rsid w:val="00405907"/>
    <w:rsid w:val="004152B3"/>
    <w:rsid w:val="00434DAE"/>
    <w:rsid w:val="00435A83"/>
    <w:rsid w:val="00445676"/>
    <w:rsid w:val="00450125"/>
    <w:rsid w:val="00477E37"/>
    <w:rsid w:val="00496C2D"/>
    <w:rsid w:val="004A609C"/>
    <w:rsid w:val="004B028E"/>
    <w:rsid w:val="004B1D25"/>
    <w:rsid w:val="004C2C72"/>
    <w:rsid w:val="004C7ADB"/>
    <w:rsid w:val="004D5B6C"/>
    <w:rsid w:val="004E0E8C"/>
    <w:rsid w:val="004F0E43"/>
    <w:rsid w:val="004F749A"/>
    <w:rsid w:val="00502BED"/>
    <w:rsid w:val="005108CA"/>
    <w:rsid w:val="005130BB"/>
    <w:rsid w:val="005265EC"/>
    <w:rsid w:val="005361E8"/>
    <w:rsid w:val="00543B45"/>
    <w:rsid w:val="0055506A"/>
    <w:rsid w:val="005647FC"/>
    <w:rsid w:val="00566852"/>
    <w:rsid w:val="00573572"/>
    <w:rsid w:val="00575AA7"/>
    <w:rsid w:val="005B03CC"/>
    <w:rsid w:val="005B411A"/>
    <w:rsid w:val="005B597C"/>
    <w:rsid w:val="005C178C"/>
    <w:rsid w:val="005D5F6C"/>
    <w:rsid w:val="00600627"/>
    <w:rsid w:val="00607B83"/>
    <w:rsid w:val="00636EF5"/>
    <w:rsid w:val="0064351F"/>
    <w:rsid w:val="006516B7"/>
    <w:rsid w:val="00665435"/>
    <w:rsid w:val="00667630"/>
    <w:rsid w:val="006735E1"/>
    <w:rsid w:val="006A74EC"/>
    <w:rsid w:val="006B51AA"/>
    <w:rsid w:val="006C4C93"/>
    <w:rsid w:val="006E4409"/>
    <w:rsid w:val="006E4CA7"/>
    <w:rsid w:val="006E6BA1"/>
    <w:rsid w:val="006F44CA"/>
    <w:rsid w:val="00702E10"/>
    <w:rsid w:val="00710B36"/>
    <w:rsid w:val="00732722"/>
    <w:rsid w:val="00763AF1"/>
    <w:rsid w:val="00774648"/>
    <w:rsid w:val="00776532"/>
    <w:rsid w:val="00781F53"/>
    <w:rsid w:val="007A4567"/>
    <w:rsid w:val="007A5AEB"/>
    <w:rsid w:val="007B0313"/>
    <w:rsid w:val="007C06EC"/>
    <w:rsid w:val="007D07AA"/>
    <w:rsid w:val="007E1AE1"/>
    <w:rsid w:val="007E440B"/>
    <w:rsid w:val="0081408C"/>
    <w:rsid w:val="008144A0"/>
    <w:rsid w:val="00814ADA"/>
    <w:rsid w:val="008272FB"/>
    <w:rsid w:val="00831A2D"/>
    <w:rsid w:val="008674E7"/>
    <w:rsid w:val="008717BA"/>
    <w:rsid w:val="00887037"/>
    <w:rsid w:val="00893C98"/>
    <w:rsid w:val="008B0BBF"/>
    <w:rsid w:val="008B5253"/>
    <w:rsid w:val="008B58CA"/>
    <w:rsid w:val="008C236E"/>
    <w:rsid w:val="008D043B"/>
    <w:rsid w:val="008E004B"/>
    <w:rsid w:val="008E41E4"/>
    <w:rsid w:val="008F2562"/>
    <w:rsid w:val="00907707"/>
    <w:rsid w:val="00913AB9"/>
    <w:rsid w:val="00914B6D"/>
    <w:rsid w:val="00917372"/>
    <w:rsid w:val="00926866"/>
    <w:rsid w:val="00943018"/>
    <w:rsid w:val="00950D60"/>
    <w:rsid w:val="00954457"/>
    <w:rsid w:val="009575EB"/>
    <w:rsid w:val="00966F47"/>
    <w:rsid w:val="00990EB9"/>
    <w:rsid w:val="009A7DAE"/>
    <w:rsid w:val="009E55F1"/>
    <w:rsid w:val="009F20EB"/>
    <w:rsid w:val="00A056D6"/>
    <w:rsid w:val="00A31C33"/>
    <w:rsid w:val="00A35BCA"/>
    <w:rsid w:val="00A51104"/>
    <w:rsid w:val="00A60ACB"/>
    <w:rsid w:val="00A80A57"/>
    <w:rsid w:val="00A9315F"/>
    <w:rsid w:val="00AC75B1"/>
    <w:rsid w:val="00AD13C4"/>
    <w:rsid w:val="00AE431B"/>
    <w:rsid w:val="00AE6E45"/>
    <w:rsid w:val="00AF5692"/>
    <w:rsid w:val="00B07597"/>
    <w:rsid w:val="00B10F1F"/>
    <w:rsid w:val="00B245F9"/>
    <w:rsid w:val="00B32B6E"/>
    <w:rsid w:val="00B46B89"/>
    <w:rsid w:val="00B5188A"/>
    <w:rsid w:val="00B5335F"/>
    <w:rsid w:val="00B578AE"/>
    <w:rsid w:val="00B84CCD"/>
    <w:rsid w:val="00B864B6"/>
    <w:rsid w:val="00BA3E76"/>
    <w:rsid w:val="00BA6D8A"/>
    <w:rsid w:val="00BC1AB1"/>
    <w:rsid w:val="00BC1E2E"/>
    <w:rsid w:val="00BC705C"/>
    <w:rsid w:val="00BD4DC3"/>
    <w:rsid w:val="00BD5F89"/>
    <w:rsid w:val="00C01D75"/>
    <w:rsid w:val="00C47C1D"/>
    <w:rsid w:val="00C56D42"/>
    <w:rsid w:val="00C61629"/>
    <w:rsid w:val="00C76DE6"/>
    <w:rsid w:val="00CB000D"/>
    <w:rsid w:val="00CB23C9"/>
    <w:rsid w:val="00CB24DA"/>
    <w:rsid w:val="00CB26FD"/>
    <w:rsid w:val="00CB2A8A"/>
    <w:rsid w:val="00CC08BB"/>
    <w:rsid w:val="00CC7BDC"/>
    <w:rsid w:val="00CD1883"/>
    <w:rsid w:val="00CD29D5"/>
    <w:rsid w:val="00CD63FA"/>
    <w:rsid w:val="00D11B36"/>
    <w:rsid w:val="00D2074F"/>
    <w:rsid w:val="00D31548"/>
    <w:rsid w:val="00D3170D"/>
    <w:rsid w:val="00D36A84"/>
    <w:rsid w:val="00D51228"/>
    <w:rsid w:val="00D52211"/>
    <w:rsid w:val="00D53CB3"/>
    <w:rsid w:val="00D635BA"/>
    <w:rsid w:val="00D860D6"/>
    <w:rsid w:val="00D96607"/>
    <w:rsid w:val="00DA52D4"/>
    <w:rsid w:val="00DB0846"/>
    <w:rsid w:val="00DB2910"/>
    <w:rsid w:val="00DC4D50"/>
    <w:rsid w:val="00DD34F2"/>
    <w:rsid w:val="00DE35BF"/>
    <w:rsid w:val="00DE7E6B"/>
    <w:rsid w:val="00DE7F0F"/>
    <w:rsid w:val="00DF5E5F"/>
    <w:rsid w:val="00E0098F"/>
    <w:rsid w:val="00E010A8"/>
    <w:rsid w:val="00E03B8F"/>
    <w:rsid w:val="00E067A3"/>
    <w:rsid w:val="00E1012A"/>
    <w:rsid w:val="00E444A9"/>
    <w:rsid w:val="00E44B23"/>
    <w:rsid w:val="00E56123"/>
    <w:rsid w:val="00E57971"/>
    <w:rsid w:val="00E706C8"/>
    <w:rsid w:val="00E710A6"/>
    <w:rsid w:val="00E80F74"/>
    <w:rsid w:val="00E92846"/>
    <w:rsid w:val="00E94D8E"/>
    <w:rsid w:val="00EA7F09"/>
    <w:rsid w:val="00EB5D58"/>
    <w:rsid w:val="00ED5493"/>
    <w:rsid w:val="00ED6C0D"/>
    <w:rsid w:val="00EF7A9E"/>
    <w:rsid w:val="00F02371"/>
    <w:rsid w:val="00F15C48"/>
    <w:rsid w:val="00F16458"/>
    <w:rsid w:val="00F30186"/>
    <w:rsid w:val="00F363C8"/>
    <w:rsid w:val="00F36D3A"/>
    <w:rsid w:val="00F5567E"/>
    <w:rsid w:val="00F64A42"/>
    <w:rsid w:val="00F763A9"/>
    <w:rsid w:val="00F80F60"/>
    <w:rsid w:val="00F82189"/>
    <w:rsid w:val="00F91907"/>
    <w:rsid w:val="00FB49FA"/>
    <w:rsid w:val="00FC0016"/>
    <w:rsid w:val="00FD2B46"/>
    <w:rsid w:val="00FF6C45"/>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47AB9"/>
  <w15:docId w15:val="{FACF4BAF-F0D7-46AB-A79F-293622DC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A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1E28"/>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rsid w:val="000A1E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A1E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1E28"/>
    <w:pPr>
      <w:keepNext/>
      <w:spacing w:before="240" w:after="60"/>
      <w:outlineLvl w:val="3"/>
    </w:pPr>
    <w:rPr>
      <w:b/>
      <w:bCs/>
      <w:noProof/>
      <w:sz w:val="28"/>
      <w:szCs w:val="28"/>
    </w:rPr>
  </w:style>
  <w:style w:type="paragraph" w:styleId="Heading5">
    <w:name w:val="heading 5"/>
    <w:basedOn w:val="Normal"/>
    <w:next w:val="Normal"/>
    <w:link w:val="Heading5Char"/>
    <w:uiPriority w:val="9"/>
    <w:qFormat/>
    <w:rsid w:val="00E444A9"/>
    <w:pPr>
      <w:keepNext/>
      <w:spacing w:line="360" w:lineRule="auto"/>
      <w:outlineLvl w:val="4"/>
    </w:pPr>
    <w:rPr>
      <w:i/>
      <w:iCs/>
    </w:rPr>
  </w:style>
  <w:style w:type="paragraph" w:styleId="Heading6">
    <w:name w:val="heading 6"/>
    <w:basedOn w:val="Normal"/>
    <w:next w:val="Normal"/>
    <w:link w:val="Heading6Char"/>
    <w:qFormat/>
    <w:rsid w:val="00E444A9"/>
    <w:pPr>
      <w:keepNext/>
      <w:spacing w:after="240" w:line="360" w:lineRule="auto"/>
      <w:jc w:val="center"/>
      <w:outlineLvl w:val="5"/>
    </w:pPr>
    <w:rPr>
      <w:b/>
      <w:bCs/>
    </w:rPr>
  </w:style>
  <w:style w:type="paragraph" w:styleId="Heading7">
    <w:name w:val="heading 7"/>
    <w:basedOn w:val="Normal"/>
    <w:next w:val="Normal"/>
    <w:link w:val="Heading7Char"/>
    <w:uiPriority w:val="9"/>
    <w:qFormat/>
    <w:rsid w:val="00E444A9"/>
    <w:pPr>
      <w:keepNext/>
      <w:outlineLvl w:val="6"/>
    </w:pPr>
    <w:rPr>
      <w:b/>
      <w:bCs/>
      <w:noProof/>
    </w:rPr>
  </w:style>
  <w:style w:type="paragraph" w:styleId="Heading9">
    <w:name w:val="heading 9"/>
    <w:basedOn w:val="Normal"/>
    <w:next w:val="Normal"/>
    <w:link w:val="Heading9Char"/>
    <w:qFormat/>
    <w:rsid w:val="000A1E28"/>
    <w:pPr>
      <w:spacing w:before="240" w:after="60"/>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5B1"/>
    <w:pPr>
      <w:tabs>
        <w:tab w:val="center" w:pos="4680"/>
        <w:tab w:val="right" w:pos="9360"/>
      </w:tabs>
    </w:pPr>
  </w:style>
  <w:style w:type="character" w:customStyle="1" w:styleId="HeaderChar">
    <w:name w:val="Header Char"/>
    <w:basedOn w:val="DefaultParagraphFont"/>
    <w:link w:val="Header"/>
    <w:uiPriority w:val="99"/>
    <w:rsid w:val="00AC75B1"/>
  </w:style>
  <w:style w:type="paragraph" w:styleId="Footer">
    <w:name w:val="footer"/>
    <w:basedOn w:val="Normal"/>
    <w:link w:val="FooterChar"/>
    <w:uiPriority w:val="99"/>
    <w:unhideWhenUsed/>
    <w:rsid w:val="00AC75B1"/>
    <w:pPr>
      <w:tabs>
        <w:tab w:val="center" w:pos="4680"/>
        <w:tab w:val="right" w:pos="9360"/>
      </w:tabs>
    </w:pPr>
  </w:style>
  <w:style w:type="character" w:customStyle="1" w:styleId="FooterChar">
    <w:name w:val="Footer Char"/>
    <w:basedOn w:val="DefaultParagraphFont"/>
    <w:link w:val="Footer"/>
    <w:uiPriority w:val="99"/>
    <w:rsid w:val="00AC75B1"/>
  </w:style>
  <w:style w:type="paragraph" w:styleId="BalloonText">
    <w:name w:val="Balloon Text"/>
    <w:basedOn w:val="Normal"/>
    <w:link w:val="BalloonTextChar"/>
    <w:uiPriority w:val="99"/>
    <w:unhideWhenUsed/>
    <w:rsid w:val="00AC75B1"/>
    <w:rPr>
      <w:rFonts w:ascii="Tahoma" w:hAnsi="Tahoma" w:cs="Tahoma"/>
      <w:sz w:val="16"/>
      <w:szCs w:val="16"/>
    </w:rPr>
  </w:style>
  <w:style w:type="character" w:customStyle="1" w:styleId="BalloonTextChar">
    <w:name w:val="Balloon Text Char"/>
    <w:basedOn w:val="DefaultParagraphFont"/>
    <w:link w:val="BalloonText"/>
    <w:uiPriority w:val="99"/>
    <w:rsid w:val="00AC75B1"/>
    <w:rPr>
      <w:rFonts w:ascii="Tahoma" w:hAnsi="Tahoma" w:cs="Tahoma"/>
      <w:sz w:val="16"/>
      <w:szCs w:val="16"/>
    </w:rPr>
  </w:style>
  <w:style w:type="character" w:customStyle="1" w:styleId="Heading5Char">
    <w:name w:val="Heading 5 Char"/>
    <w:basedOn w:val="DefaultParagraphFont"/>
    <w:link w:val="Heading5"/>
    <w:uiPriority w:val="9"/>
    <w:rsid w:val="00E444A9"/>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9"/>
    <w:rsid w:val="00E444A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E444A9"/>
    <w:rPr>
      <w:rFonts w:ascii="Times New Roman" w:eastAsia="Times New Roman" w:hAnsi="Times New Roman" w:cs="Times New Roman"/>
      <w:b/>
      <w:bCs/>
      <w:noProof/>
      <w:sz w:val="24"/>
      <w:szCs w:val="24"/>
    </w:rPr>
  </w:style>
  <w:style w:type="paragraph" w:styleId="FootnoteText">
    <w:name w:val="footnote text"/>
    <w:basedOn w:val="Normal"/>
    <w:link w:val="FootnoteTextChar"/>
    <w:uiPriority w:val="99"/>
    <w:rsid w:val="00E444A9"/>
    <w:rPr>
      <w:sz w:val="20"/>
      <w:szCs w:val="20"/>
    </w:rPr>
  </w:style>
  <w:style w:type="character" w:customStyle="1" w:styleId="FootnoteTextChar">
    <w:name w:val="Footnote Text Char"/>
    <w:basedOn w:val="DefaultParagraphFont"/>
    <w:link w:val="FootnoteText"/>
    <w:uiPriority w:val="99"/>
    <w:rsid w:val="00E444A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444A9"/>
    <w:rPr>
      <w:vertAlign w:val="superscript"/>
    </w:rPr>
  </w:style>
  <w:style w:type="paragraph" w:styleId="BodyText2">
    <w:name w:val="Body Text 2"/>
    <w:basedOn w:val="Normal"/>
    <w:link w:val="BodyText2Char"/>
    <w:rsid w:val="00E444A9"/>
    <w:pPr>
      <w:jc w:val="lowKashida"/>
    </w:pPr>
    <w:rPr>
      <w:rFonts w:cs="Traditional Arabic"/>
      <w:noProof/>
      <w:szCs w:val="20"/>
    </w:rPr>
  </w:style>
  <w:style w:type="character" w:customStyle="1" w:styleId="BodyText2Char">
    <w:name w:val="Body Text 2 Char"/>
    <w:basedOn w:val="DefaultParagraphFont"/>
    <w:link w:val="BodyText2"/>
    <w:uiPriority w:val="99"/>
    <w:rsid w:val="00E444A9"/>
    <w:rPr>
      <w:rFonts w:ascii="Times New Roman" w:eastAsia="Times New Roman" w:hAnsi="Times New Roman" w:cs="Traditional Arabic"/>
      <w:noProof/>
      <w:sz w:val="24"/>
      <w:szCs w:val="20"/>
    </w:rPr>
  </w:style>
  <w:style w:type="paragraph" w:styleId="BodyText">
    <w:name w:val="Body Text"/>
    <w:basedOn w:val="Normal"/>
    <w:link w:val="BodyTextChar"/>
    <w:uiPriority w:val="99"/>
    <w:unhideWhenUsed/>
    <w:rsid w:val="00E444A9"/>
    <w:pPr>
      <w:bidi/>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E444A9"/>
    <w:rPr>
      <w:rFonts w:ascii="Calibri" w:eastAsia="Calibri" w:hAnsi="Calibri" w:cs="Arial"/>
    </w:rPr>
  </w:style>
  <w:style w:type="character" w:customStyle="1" w:styleId="Heading2Char">
    <w:name w:val="Heading 2 Char"/>
    <w:basedOn w:val="DefaultParagraphFont"/>
    <w:link w:val="Heading2"/>
    <w:uiPriority w:val="9"/>
    <w:rsid w:val="000A1E2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0A1E28"/>
    <w:pPr>
      <w:spacing w:after="120"/>
      <w:ind w:left="283"/>
    </w:pPr>
  </w:style>
  <w:style w:type="character" w:customStyle="1" w:styleId="BodyTextIndentChar">
    <w:name w:val="Body Text Indent Char"/>
    <w:basedOn w:val="DefaultParagraphFont"/>
    <w:link w:val="BodyTextIndent"/>
    <w:uiPriority w:val="99"/>
    <w:rsid w:val="000A1E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1E28"/>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0A1E2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A1E28"/>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0A1E28"/>
    <w:rPr>
      <w:rFonts w:ascii="Arial" w:eastAsia="Times New Roman" w:hAnsi="Arial" w:cs="Arial"/>
      <w:noProof/>
    </w:rPr>
  </w:style>
  <w:style w:type="paragraph" w:styleId="BodyTextIndent2">
    <w:name w:val="Body Text Indent 2"/>
    <w:basedOn w:val="Normal"/>
    <w:link w:val="BodyTextIndent2Char"/>
    <w:uiPriority w:val="99"/>
    <w:rsid w:val="000A1E28"/>
    <w:pPr>
      <w:spacing w:after="120" w:line="480" w:lineRule="auto"/>
      <w:ind w:left="283"/>
    </w:pPr>
    <w:rPr>
      <w:noProof/>
    </w:rPr>
  </w:style>
  <w:style w:type="character" w:customStyle="1" w:styleId="BodyTextIndent2Char">
    <w:name w:val="Body Text Indent 2 Char"/>
    <w:basedOn w:val="DefaultParagraphFont"/>
    <w:link w:val="BodyTextIndent2"/>
    <w:uiPriority w:val="99"/>
    <w:rsid w:val="000A1E28"/>
    <w:rPr>
      <w:rFonts w:ascii="Times New Roman" w:eastAsia="Times New Roman" w:hAnsi="Times New Roman" w:cs="Times New Roman"/>
      <w:noProof/>
      <w:sz w:val="24"/>
      <w:szCs w:val="24"/>
    </w:rPr>
  </w:style>
  <w:style w:type="paragraph" w:styleId="BodyTextIndent3">
    <w:name w:val="Body Text Indent 3"/>
    <w:basedOn w:val="Normal"/>
    <w:link w:val="BodyTextIndent3Char"/>
    <w:uiPriority w:val="99"/>
    <w:rsid w:val="000A1E28"/>
    <w:pPr>
      <w:spacing w:line="360" w:lineRule="auto"/>
      <w:ind w:firstLine="720"/>
      <w:jc w:val="both"/>
    </w:pPr>
    <w:rPr>
      <w:szCs w:val="20"/>
    </w:rPr>
  </w:style>
  <w:style w:type="character" w:customStyle="1" w:styleId="BodyTextIndent3Char">
    <w:name w:val="Body Text Indent 3 Char"/>
    <w:basedOn w:val="DefaultParagraphFont"/>
    <w:link w:val="BodyTextIndent3"/>
    <w:uiPriority w:val="99"/>
    <w:rsid w:val="000A1E28"/>
    <w:rPr>
      <w:rFonts w:ascii="Times New Roman" w:eastAsia="Times New Roman" w:hAnsi="Times New Roman" w:cs="Times New Roman"/>
      <w:sz w:val="24"/>
      <w:szCs w:val="20"/>
    </w:rPr>
  </w:style>
  <w:style w:type="character" w:styleId="PageNumber">
    <w:name w:val="page number"/>
    <w:basedOn w:val="DefaultParagraphFont"/>
    <w:uiPriority w:val="99"/>
    <w:rsid w:val="000A1E28"/>
  </w:style>
  <w:style w:type="paragraph" w:customStyle="1" w:styleId="Picture">
    <w:name w:val="Picture"/>
    <w:basedOn w:val="Normal"/>
    <w:rsid w:val="000A1E28"/>
    <w:rPr>
      <w:sz w:val="20"/>
      <w:szCs w:val="20"/>
    </w:rPr>
  </w:style>
  <w:style w:type="table" w:styleId="TableColorful2">
    <w:name w:val="Table Colorful 2"/>
    <w:basedOn w:val="TableNormal"/>
    <w:rsid w:val="000A1E28"/>
    <w:pPr>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rsid w:val="000A1E28"/>
    <w:pPr>
      <w:spacing w:before="100" w:beforeAutospacing="1" w:after="100" w:afterAutospacing="1"/>
    </w:pPr>
  </w:style>
  <w:style w:type="character" w:styleId="Hyperlink">
    <w:name w:val="Hyperlink"/>
    <w:basedOn w:val="DefaultParagraphFont"/>
    <w:uiPriority w:val="99"/>
    <w:rsid w:val="000A1E28"/>
    <w:rPr>
      <w:color w:val="0000FF"/>
      <w:u w:val="single"/>
    </w:rPr>
  </w:style>
  <w:style w:type="paragraph" w:styleId="Title">
    <w:name w:val="Title"/>
    <w:basedOn w:val="Normal"/>
    <w:link w:val="TitleChar"/>
    <w:qFormat/>
    <w:rsid w:val="000A1E28"/>
    <w:pPr>
      <w:jc w:val="center"/>
    </w:pPr>
    <w:rPr>
      <w:b/>
      <w:szCs w:val="20"/>
    </w:rPr>
  </w:style>
  <w:style w:type="character" w:customStyle="1" w:styleId="TitleChar">
    <w:name w:val="Title Char"/>
    <w:basedOn w:val="DefaultParagraphFont"/>
    <w:link w:val="Title"/>
    <w:rsid w:val="000A1E28"/>
    <w:rPr>
      <w:rFonts w:ascii="Times New Roman" w:eastAsia="Times New Roman" w:hAnsi="Times New Roman" w:cs="Times New Roman"/>
      <w:b/>
      <w:sz w:val="24"/>
      <w:szCs w:val="20"/>
    </w:rPr>
  </w:style>
  <w:style w:type="paragraph" w:styleId="BodyText3">
    <w:name w:val="Body Text 3"/>
    <w:basedOn w:val="Normal"/>
    <w:link w:val="BodyText3Char"/>
    <w:rsid w:val="000A1E28"/>
    <w:pPr>
      <w:spacing w:after="120"/>
    </w:pPr>
    <w:rPr>
      <w:noProof/>
      <w:sz w:val="16"/>
      <w:szCs w:val="16"/>
    </w:rPr>
  </w:style>
  <w:style w:type="character" w:customStyle="1" w:styleId="BodyText3Char">
    <w:name w:val="Body Text 3 Char"/>
    <w:basedOn w:val="DefaultParagraphFont"/>
    <w:link w:val="BodyText3"/>
    <w:rsid w:val="000A1E28"/>
    <w:rPr>
      <w:rFonts w:ascii="Times New Roman" w:eastAsia="Times New Roman" w:hAnsi="Times New Roman" w:cs="Times New Roman"/>
      <w:noProof/>
      <w:sz w:val="16"/>
      <w:szCs w:val="16"/>
    </w:rPr>
  </w:style>
  <w:style w:type="paragraph" w:customStyle="1" w:styleId="g">
    <w:name w:val="g"/>
    <w:basedOn w:val="Normal"/>
    <w:rsid w:val="000A1E28"/>
    <w:pPr>
      <w:spacing w:before="240" w:after="240"/>
    </w:pPr>
    <w:rPr>
      <w:rFonts w:ascii="Arial Unicode MS" w:eastAsia="Arial Unicode MS" w:hAnsi="Arial Unicode MS" w:cs="Arial Unicode MS"/>
    </w:rPr>
  </w:style>
  <w:style w:type="paragraph" w:styleId="PlainText">
    <w:name w:val="Plain Text"/>
    <w:basedOn w:val="Normal"/>
    <w:link w:val="PlainTextChar"/>
    <w:rsid w:val="000A1E28"/>
    <w:rPr>
      <w:rFonts w:ascii="Courier New" w:hAnsi="Courier New" w:cs="Courier New"/>
      <w:sz w:val="20"/>
      <w:szCs w:val="20"/>
      <w:lang w:val="en-GB"/>
    </w:rPr>
  </w:style>
  <w:style w:type="character" w:customStyle="1" w:styleId="PlainTextChar">
    <w:name w:val="Plain Text Char"/>
    <w:basedOn w:val="DefaultParagraphFont"/>
    <w:link w:val="PlainText"/>
    <w:rsid w:val="000A1E28"/>
    <w:rPr>
      <w:rFonts w:ascii="Courier New" w:eastAsia="Times New Roman" w:hAnsi="Courier New" w:cs="Courier New"/>
      <w:sz w:val="20"/>
      <w:szCs w:val="20"/>
      <w:lang w:val="en-GB"/>
    </w:rPr>
  </w:style>
  <w:style w:type="character" w:styleId="Emphasis">
    <w:name w:val="Emphasis"/>
    <w:basedOn w:val="DefaultParagraphFont"/>
    <w:uiPriority w:val="20"/>
    <w:qFormat/>
    <w:rsid w:val="000A1E28"/>
    <w:rPr>
      <w:i/>
      <w:iCs/>
    </w:rPr>
  </w:style>
  <w:style w:type="character" w:styleId="CommentReference">
    <w:name w:val="annotation reference"/>
    <w:basedOn w:val="DefaultParagraphFont"/>
    <w:uiPriority w:val="99"/>
    <w:rsid w:val="000A1E28"/>
    <w:rPr>
      <w:sz w:val="16"/>
      <w:szCs w:val="16"/>
    </w:rPr>
  </w:style>
  <w:style w:type="paragraph" w:styleId="CommentText">
    <w:name w:val="annotation text"/>
    <w:basedOn w:val="Normal"/>
    <w:link w:val="CommentTextChar"/>
    <w:uiPriority w:val="99"/>
    <w:rsid w:val="000A1E28"/>
    <w:rPr>
      <w:noProof/>
      <w:sz w:val="20"/>
      <w:szCs w:val="20"/>
    </w:rPr>
  </w:style>
  <w:style w:type="character" w:customStyle="1" w:styleId="CommentTextChar">
    <w:name w:val="Comment Text Char"/>
    <w:basedOn w:val="DefaultParagraphFont"/>
    <w:link w:val="CommentText"/>
    <w:uiPriority w:val="99"/>
    <w:rsid w:val="000A1E2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rsid w:val="000A1E28"/>
    <w:rPr>
      <w:b/>
      <w:bCs/>
    </w:rPr>
  </w:style>
  <w:style w:type="character" w:customStyle="1" w:styleId="CommentSubjectChar">
    <w:name w:val="Comment Subject Char"/>
    <w:basedOn w:val="CommentTextChar"/>
    <w:link w:val="CommentSubject"/>
    <w:uiPriority w:val="99"/>
    <w:rsid w:val="000A1E28"/>
    <w:rPr>
      <w:rFonts w:ascii="Times New Roman" w:eastAsia="Times New Roman" w:hAnsi="Times New Roman" w:cs="Times New Roman"/>
      <w:b/>
      <w:bCs/>
      <w:noProof/>
      <w:sz w:val="20"/>
      <w:szCs w:val="20"/>
    </w:rPr>
  </w:style>
  <w:style w:type="character" w:customStyle="1" w:styleId="hps">
    <w:name w:val="hps"/>
    <w:basedOn w:val="DefaultParagraphFont"/>
    <w:rsid w:val="000A1E28"/>
  </w:style>
  <w:style w:type="paragraph" w:styleId="ListParagraph">
    <w:name w:val="List Paragraph"/>
    <w:basedOn w:val="Normal"/>
    <w:link w:val="ListParagraphChar"/>
    <w:uiPriority w:val="34"/>
    <w:qFormat/>
    <w:rsid w:val="000C0818"/>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0C0818"/>
    <w:rPr>
      <w:rFonts w:cs="Times New Roman"/>
    </w:rPr>
  </w:style>
  <w:style w:type="table" w:styleId="TableGrid">
    <w:name w:val="Table Grid"/>
    <w:basedOn w:val="TableNormal"/>
    <w:uiPriority w:val="39"/>
    <w:rsid w:val="000C0818"/>
    <w:pPr>
      <w:jc w:val="left"/>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rsid w:val="003C0F1C"/>
    <w:rPr>
      <w:i/>
      <w:iCs/>
    </w:rPr>
  </w:style>
  <w:style w:type="character" w:customStyle="1" w:styleId="apple-style-span">
    <w:name w:val="apple-style-span"/>
    <w:basedOn w:val="DefaultParagraphFont"/>
    <w:rsid w:val="003C0F1C"/>
    <w:rPr>
      <w:rFonts w:cs="Times New Roman"/>
    </w:rPr>
  </w:style>
  <w:style w:type="character" w:customStyle="1" w:styleId="Internetlink1">
    <w:name w:val="Internet link1"/>
    <w:uiPriority w:val="99"/>
    <w:rsid w:val="007E1AE1"/>
    <w:rPr>
      <w:color w:val="000080"/>
      <w:u w:val="single"/>
    </w:rPr>
  </w:style>
  <w:style w:type="paragraph" w:customStyle="1" w:styleId="Default">
    <w:name w:val="Default"/>
    <w:rsid w:val="007E1AE1"/>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fullpost">
    <w:name w:val="fullpost"/>
    <w:basedOn w:val="DefaultParagraphFont"/>
    <w:rsid w:val="007E1AE1"/>
  </w:style>
  <w:style w:type="character" w:styleId="Strong">
    <w:name w:val="Strong"/>
    <w:basedOn w:val="DefaultParagraphFont"/>
    <w:uiPriority w:val="22"/>
    <w:qFormat/>
    <w:rsid w:val="00831A2D"/>
    <w:rPr>
      <w:b/>
      <w:bCs/>
    </w:rPr>
  </w:style>
  <w:style w:type="character" w:customStyle="1" w:styleId="fullpost0">
    <w:name w:val="”fullpost”"/>
    <w:basedOn w:val="DefaultParagraphFont"/>
    <w:rsid w:val="00831A2D"/>
  </w:style>
  <w:style w:type="character" w:customStyle="1" w:styleId="skimlinks-unlinked">
    <w:name w:val="skimlinks-unlinked"/>
    <w:basedOn w:val="DefaultParagraphFont"/>
    <w:rsid w:val="00831A2D"/>
  </w:style>
  <w:style w:type="character" w:customStyle="1" w:styleId="ListParagraphChar">
    <w:name w:val="List Paragraph Char"/>
    <w:basedOn w:val="DefaultParagraphFont"/>
    <w:link w:val="ListParagraph"/>
    <w:uiPriority w:val="34"/>
    <w:rsid w:val="00966F47"/>
    <w:rPr>
      <w:rFonts w:eastAsia="Times New Roman"/>
    </w:rPr>
  </w:style>
  <w:style w:type="paragraph" w:customStyle="1" w:styleId="Style">
    <w:name w:val="Style"/>
    <w:uiPriority w:val="99"/>
    <w:rsid w:val="00A51104"/>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A51104"/>
  </w:style>
  <w:style w:type="character" w:customStyle="1" w:styleId="gjyccz">
    <w:name w:val="gjyccz"/>
    <w:basedOn w:val="DefaultParagraphFont"/>
    <w:rsid w:val="00A51104"/>
  </w:style>
  <w:style w:type="character" w:customStyle="1" w:styleId="s3i0ex5d">
    <w:name w:val="s3i0ex5d"/>
    <w:basedOn w:val="DefaultParagraphFont"/>
    <w:rsid w:val="00A51104"/>
  </w:style>
  <w:style w:type="character" w:customStyle="1" w:styleId="etbreadcrumbstitle">
    <w:name w:val="et_breadcrumbs_title"/>
    <w:basedOn w:val="DefaultParagraphFont"/>
    <w:rsid w:val="00A51104"/>
  </w:style>
  <w:style w:type="paragraph" w:styleId="HTMLPreformatted">
    <w:name w:val="HTML Preformatted"/>
    <w:basedOn w:val="Normal"/>
    <w:link w:val="HTMLPreformattedChar"/>
    <w:uiPriority w:val="99"/>
    <w:semiHidden/>
    <w:unhideWhenUsed/>
    <w:rsid w:val="00A5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1104"/>
    <w:rPr>
      <w:rFonts w:ascii="Courier New" w:eastAsia="Times New Roman" w:hAnsi="Courier New" w:cs="Courier New"/>
      <w:sz w:val="20"/>
      <w:szCs w:val="20"/>
    </w:rPr>
  </w:style>
  <w:style w:type="character" w:customStyle="1" w:styleId="rfdfootnotenum">
    <w:name w:val="rfdfootnotenum"/>
    <w:basedOn w:val="DefaultParagraphFont"/>
    <w:rsid w:val="00A51104"/>
  </w:style>
  <w:style w:type="character" w:customStyle="1" w:styleId="rfdalaem">
    <w:name w:val="rfdalaem"/>
    <w:basedOn w:val="DefaultParagraphFont"/>
    <w:rsid w:val="00A51104"/>
  </w:style>
  <w:style w:type="character" w:customStyle="1" w:styleId="rfdaie">
    <w:name w:val="rfdaie"/>
    <w:basedOn w:val="DefaultParagraphFont"/>
    <w:rsid w:val="00A51104"/>
  </w:style>
  <w:style w:type="paragraph" w:customStyle="1" w:styleId="rfdline">
    <w:name w:val="rfdline"/>
    <w:basedOn w:val="Normal"/>
    <w:rsid w:val="00A51104"/>
    <w:pPr>
      <w:spacing w:before="100" w:beforeAutospacing="1" w:after="100" w:afterAutospacing="1"/>
    </w:pPr>
  </w:style>
  <w:style w:type="paragraph" w:customStyle="1" w:styleId="rfdfootnote0">
    <w:name w:val="rfdfootnote0"/>
    <w:basedOn w:val="Normal"/>
    <w:rsid w:val="00A51104"/>
    <w:pPr>
      <w:spacing w:before="100" w:beforeAutospacing="1" w:after="100" w:afterAutospacing="1"/>
    </w:pPr>
  </w:style>
  <w:style w:type="paragraph" w:customStyle="1" w:styleId="bodyteks">
    <w:name w:val="body_teks"/>
    <w:basedOn w:val="Normal"/>
    <w:rsid w:val="00A51104"/>
    <w:pPr>
      <w:spacing w:before="100" w:beforeAutospacing="1" w:after="100" w:afterAutospacing="1"/>
    </w:pPr>
  </w:style>
  <w:style w:type="character" w:customStyle="1" w:styleId="gen">
    <w:name w:val="gen"/>
    <w:basedOn w:val="DefaultParagraphFont"/>
    <w:rsid w:val="00A51104"/>
  </w:style>
  <w:style w:type="paragraph" w:customStyle="1" w:styleId="baru">
    <w:name w:val="baru"/>
    <w:basedOn w:val="Normal"/>
    <w:rsid w:val="00A51104"/>
    <w:pPr>
      <w:spacing w:before="100" w:beforeAutospacing="1" w:after="100" w:afterAutospacing="1"/>
    </w:pPr>
  </w:style>
  <w:style w:type="character" w:customStyle="1" w:styleId="caps">
    <w:name w:val="caps"/>
    <w:basedOn w:val="DefaultParagraphFont"/>
    <w:rsid w:val="00A51104"/>
  </w:style>
  <w:style w:type="paragraph" w:styleId="EndnoteText">
    <w:name w:val="endnote text"/>
    <w:basedOn w:val="Normal"/>
    <w:link w:val="EndnoteTextChar"/>
    <w:unhideWhenUsed/>
    <w:rsid w:val="007E440B"/>
    <w:rPr>
      <w:sz w:val="20"/>
      <w:szCs w:val="20"/>
    </w:rPr>
  </w:style>
  <w:style w:type="character" w:customStyle="1" w:styleId="EndnoteTextChar">
    <w:name w:val="Endnote Text Char"/>
    <w:basedOn w:val="DefaultParagraphFont"/>
    <w:link w:val="EndnoteText"/>
    <w:rsid w:val="007E440B"/>
    <w:rPr>
      <w:rFonts w:ascii="Times New Roman" w:eastAsia="Times New Roman" w:hAnsi="Times New Roman" w:cs="Times New Roman"/>
      <w:sz w:val="20"/>
      <w:szCs w:val="20"/>
    </w:rPr>
  </w:style>
  <w:style w:type="character" w:styleId="EndnoteReference">
    <w:name w:val="endnote reference"/>
    <w:basedOn w:val="DefaultParagraphFont"/>
    <w:unhideWhenUsed/>
    <w:rsid w:val="007E440B"/>
    <w:rPr>
      <w:vertAlign w:val="superscript"/>
    </w:rPr>
  </w:style>
  <w:style w:type="paragraph" w:styleId="Subtitle">
    <w:name w:val="Subtitle"/>
    <w:basedOn w:val="Normal"/>
    <w:link w:val="SubtitleChar"/>
    <w:uiPriority w:val="11"/>
    <w:qFormat/>
    <w:rsid w:val="00DA52D4"/>
    <w:pPr>
      <w:numPr>
        <w:numId w:val="1"/>
      </w:numPr>
      <w:spacing w:line="360" w:lineRule="auto"/>
    </w:pPr>
    <w:rPr>
      <w:b/>
      <w:bCs/>
    </w:rPr>
  </w:style>
  <w:style w:type="character" w:customStyle="1" w:styleId="SubtitleChar">
    <w:name w:val="Subtitle Char"/>
    <w:basedOn w:val="DefaultParagraphFont"/>
    <w:link w:val="Subtitle"/>
    <w:uiPriority w:val="11"/>
    <w:rsid w:val="00DA52D4"/>
    <w:rPr>
      <w:rFonts w:ascii="Times New Roman" w:eastAsia="Times New Roman" w:hAnsi="Times New Roman" w:cs="Times New Roman"/>
      <w:b/>
      <w:bCs/>
      <w:sz w:val="24"/>
      <w:szCs w:val="24"/>
    </w:rPr>
  </w:style>
  <w:style w:type="character" w:customStyle="1" w:styleId="a">
    <w:name w:val="a"/>
    <w:basedOn w:val="DefaultParagraphFont"/>
    <w:rsid w:val="00DA52D4"/>
    <w:rPr>
      <w:rFonts w:cs="Times New Roman"/>
    </w:rPr>
  </w:style>
  <w:style w:type="character" w:customStyle="1" w:styleId="l8">
    <w:name w:val="l8"/>
    <w:basedOn w:val="DefaultParagraphFont"/>
    <w:rsid w:val="00DA52D4"/>
    <w:rPr>
      <w:rFonts w:cs="Times New Roman"/>
    </w:rPr>
  </w:style>
  <w:style w:type="paragraph" w:styleId="DocumentMap">
    <w:name w:val="Document Map"/>
    <w:basedOn w:val="Normal"/>
    <w:link w:val="DocumentMapChar"/>
    <w:uiPriority w:val="99"/>
    <w:semiHidden/>
    <w:unhideWhenUsed/>
    <w:rsid w:val="00ED6C0D"/>
    <w:pPr>
      <w:spacing w:after="200" w:line="276" w:lineRule="auto"/>
    </w:pPr>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ED6C0D"/>
    <w:rPr>
      <w:rFonts w:ascii="Tahoma" w:eastAsia="Times New Roman" w:hAnsi="Tahoma" w:cs="Tahoma"/>
      <w:sz w:val="16"/>
      <w:szCs w:val="16"/>
      <w:lang w:val="id-ID" w:eastAsia="id-ID"/>
    </w:rPr>
  </w:style>
  <w:style w:type="character" w:customStyle="1" w:styleId="st">
    <w:name w:val="st"/>
    <w:basedOn w:val="DefaultParagraphFont"/>
    <w:rsid w:val="00ED6C0D"/>
  </w:style>
  <w:style w:type="paragraph" w:styleId="TOC1">
    <w:name w:val="toc 1"/>
    <w:basedOn w:val="Normal"/>
    <w:next w:val="Normal"/>
    <w:autoRedefine/>
    <w:uiPriority w:val="39"/>
    <w:unhideWhenUsed/>
    <w:rsid w:val="00ED6C0D"/>
    <w:pPr>
      <w:ind w:right="318"/>
    </w:pPr>
    <w:rPr>
      <w:rFonts w:eastAsia="Calibri" w:cs="Arial"/>
      <w:szCs w:val="22"/>
      <w:lang w:val="id-ID"/>
    </w:rPr>
  </w:style>
  <w:style w:type="paragraph" w:styleId="TOC2">
    <w:name w:val="toc 2"/>
    <w:basedOn w:val="Normal"/>
    <w:next w:val="Normal"/>
    <w:autoRedefine/>
    <w:uiPriority w:val="39"/>
    <w:unhideWhenUsed/>
    <w:rsid w:val="00ED6C0D"/>
    <w:pPr>
      <w:ind w:left="240" w:right="318"/>
    </w:pPr>
    <w:rPr>
      <w:rFonts w:eastAsia="Calibri" w:cs="Arial"/>
      <w:szCs w:val="22"/>
      <w:lang w:val="id-ID"/>
    </w:rPr>
  </w:style>
  <w:style w:type="paragraph" w:styleId="TOC3">
    <w:name w:val="toc 3"/>
    <w:basedOn w:val="Normal"/>
    <w:next w:val="Normal"/>
    <w:autoRedefine/>
    <w:uiPriority w:val="39"/>
    <w:unhideWhenUsed/>
    <w:rsid w:val="00ED6C0D"/>
    <w:pPr>
      <w:tabs>
        <w:tab w:val="left" w:pos="1320"/>
        <w:tab w:val="right" w:leader="dot" w:pos="8950"/>
      </w:tabs>
      <w:ind w:left="480" w:right="318"/>
    </w:pPr>
    <w:rPr>
      <w:rFonts w:eastAsia="Calibri" w:cs="Arial"/>
      <w:szCs w:val="22"/>
      <w:lang w:val="id-ID"/>
    </w:rPr>
  </w:style>
  <w:style w:type="paragraph" w:styleId="Caption">
    <w:name w:val="caption"/>
    <w:basedOn w:val="Normal"/>
    <w:next w:val="Normal"/>
    <w:uiPriority w:val="35"/>
    <w:unhideWhenUsed/>
    <w:qFormat/>
    <w:rsid w:val="00ED6C0D"/>
    <w:pPr>
      <w:ind w:right="318"/>
    </w:pPr>
    <w:rPr>
      <w:rFonts w:eastAsia="Calibri" w:cs="Arial"/>
      <w:b/>
      <w:bCs/>
      <w:sz w:val="20"/>
      <w:szCs w:val="20"/>
      <w:lang w:val="id-ID"/>
    </w:rPr>
  </w:style>
  <w:style w:type="paragraph" w:styleId="TableofFigures">
    <w:name w:val="table of figures"/>
    <w:basedOn w:val="Normal"/>
    <w:next w:val="Normal"/>
    <w:uiPriority w:val="99"/>
    <w:unhideWhenUsed/>
    <w:rsid w:val="00ED6C0D"/>
    <w:pPr>
      <w:ind w:right="318"/>
    </w:pPr>
    <w:rPr>
      <w:rFonts w:eastAsia="Calibri" w:cs="Arial"/>
      <w:szCs w:val="22"/>
      <w:lang w:val="id-ID"/>
    </w:rPr>
  </w:style>
  <w:style w:type="paragraph" w:styleId="NoSpacing">
    <w:name w:val="No Spacing"/>
    <w:link w:val="NoSpacingChar"/>
    <w:uiPriority w:val="1"/>
    <w:qFormat/>
    <w:rsid w:val="00ED6C0D"/>
    <w:pPr>
      <w:jc w:val="left"/>
    </w:pPr>
    <w:rPr>
      <w:rFonts w:eastAsiaTheme="minorEastAsia"/>
    </w:rPr>
  </w:style>
  <w:style w:type="character" w:customStyle="1" w:styleId="NoSpacingChar">
    <w:name w:val="No Spacing Char"/>
    <w:basedOn w:val="DefaultParagraphFont"/>
    <w:link w:val="NoSpacing"/>
    <w:uiPriority w:val="1"/>
    <w:rsid w:val="00ED6C0D"/>
    <w:rPr>
      <w:rFonts w:eastAsiaTheme="minorEastAsia"/>
    </w:rPr>
  </w:style>
  <w:style w:type="paragraph" w:styleId="Bibliography">
    <w:name w:val="Bibliography"/>
    <w:basedOn w:val="Normal"/>
    <w:next w:val="Normal"/>
    <w:uiPriority w:val="37"/>
    <w:unhideWhenUsed/>
    <w:rsid w:val="00F36D3A"/>
    <w:pPr>
      <w:spacing w:after="160" w:line="259" w:lineRule="auto"/>
    </w:pPr>
    <w:rPr>
      <w:rFonts w:ascii="Palatino Linotype" w:eastAsia="MS Mincho" w:hAnsi="Palatino Linotype" w:cs="Arial"/>
      <w:sz w:val="18"/>
      <w:szCs w:val="22"/>
      <w:lang w:val="id-ID" w:eastAsia="ja-JP"/>
    </w:rPr>
  </w:style>
  <w:style w:type="character" w:styleId="UnresolvedMention">
    <w:name w:val="Unresolved Mention"/>
    <w:basedOn w:val="DefaultParagraphFont"/>
    <w:uiPriority w:val="99"/>
    <w:semiHidden/>
    <w:unhideWhenUsed/>
    <w:rsid w:val="00F3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5997">
      <w:bodyDiv w:val="1"/>
      <w:marLeft w:val="0"/>
      <w:marRight w:val="0"/>
      <w:marTop w:val="0"/>
      <w:marBottom w:val="0"/>
      <w:divBdr>
        <w:top w:val="none" w:sz="0" w:space="0" w:color="auto"/>
        <w:left w:val="none" w:sz="0" w:space="0" w:color="auto"/>
        <w:bottom w:val="none" w:sz="0" w:space="0" w:color="auto"/>
        <w:right w:val="none" w:sz="0" w:space="0" w:color="auto"/>
      </w:divBdr>
    </w:div>
    <w:div w:id="587932876">
      <w:bodyDiv w:val="1"/>
      <w:marLeft w:val="0"/>
      <w:marRight w:val="0"/>
      <w:marTop w:val="0"/>
      <w:marBottom w:val="0"/>
      <w:divBdr>
        <w:top w:val="none" w:sz="0" w:space="0" w:color="auto"/>
        <w:left w:val="none" w:sz="0" w:space="0" w:color="auto"/>
        <w:bottom w:val="none" w:sz="0" w:space="0" w:color="auto"/>
        <w:right w:val="none" w:sz="0" w:space="0" w:color="auto"/>
      </w:divBdr>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1410228372">
      <w:bodyDiv w:val="1"/>
      <w:marLeft w:val="0"/>
      <w:marRight w:val="0"/>
      <w:marTop w:val="0"/>
      <w:marBottom w:val="0"/>
      <w:divBdr>
        <w:top w:val="none" w:sz="0" w:space="0" w:color="auto"/>
        <w:left w:val="none" w:sz="0" w:space="0" w:color="auto"/>
        <w:bottom w:val="none" w:sz="0" w:space="0" w:color="auto"/>
        <w:right w:val="none" w:sz="0" w:space="0" w:color="auto"/>
      </w:divBdr>
    </w:div>
    <w:div w:id="1936403697">
      <w:bodyDiv w:val="1"/>
      <w:marLeft w:val="0"/>
      <w:marRight w:val="0"/>
      <w:marTop w:val="0"/>
      <w:marBottom w:val="0"/>
      <w:divBdr>
        <w:top w:val="none" w:sz="0" w:space="0" w:color="auto"/>
        <w:left w:val="none" w:sz="0" w:space="0" w:color="auto"/>
        <w:bottom w:val="none" w:sz="0" w:space="0" w:color="auto"/>
        <w:right w:val="none" w:sz="0" w:space="0" w:color="auto"/>
      </w:divBdr>
    </w:div>
    <w:div w:id="210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tiaalf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doi.org/10.21107/dinar" TargetMode="External"/><Relationship Id="rId1" Type="http://schemas.openxmlformats.org/officeDocument/2006/relationships/hyperlink" Target="https://journal.trunojoyo.ac.id/dinar/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Keu19</b:Tag>
    <b:SourceType>InternetSite</b:SourceType>
    <b:Guid>{66ACE1E7-E7B2-4C9C-8290-C028B0A96CA6}</b:Guid>
    <b:Title>Keuangan Inklusif Indonesia</b:Title>
    <b:Year>2019</b:Year>
    <b:InternetSiteTitle>Bank Indonesia</b:InternetSiteTitle>
    <b:Month>February</b:Month>
    <b:Day>13</b:Day>
    <b:URL>https://www.bi.go.id/id/perbankan/keuanganinklusif/Indonesia/Contents/</b:URL>
    <b:Author>
      <b:Author>
        <b:NameList>
          <b:Person>
            <b:Last>BI</b:Last>
          </b:Person>
        </b:NameList>
      </b:Author>
    </b:Author>
    <b:RefOrder>1</b:RefOrder>
  </b:Source>
  <b:Source>
    <b:Tag>OJK161</b:Tag>
    <b:SourceType>Report</b:SourceType>
    <b:Guid>{D624A816-F89B-47DA-B232-612043F1D1E2}</b:Guid>
    <b:Title>Peraturan Otoritas Jasa Keuangan Tahun 2016, Bab 1 Pasal 1 ayat 7 dan Pasal 11</b:Title>
    <b:Year>2016</b:Year>
    <b:Author>
      <b:Author>
        <b:NameList>
          <b:Person>
            <b:Last>OJK</b:Last>
            <b:First>Peraturan</b:First>
          </b:Person>
        </b:NameList>
      </b:Author>
    </b:Author>
    <b:Publisher>Otoritas Jasa Keuangan</b:Publisher>
    <b:City>Jakarta</b:City>
    <b:RefOrder>2</b:RefOrder>
  </b:Source>
  <b:Source>
    <b:Tag>Bam141</b:Tag>
    <b:SourceType>Report</b:SourceType>
    <b:Guid>{F540B67E-3F72-4AC5-BD4B-B7DE6F1179F3}</b:Guid>
    <b:Title>Keuangan Inklusif dan Penanggulangan Kemiskinan</b:Title>
    <b:Year>2014</b:Year>
    <b:Publisher>National Team for The Acceleration of Poverty Reduction</b:Publisher>
    <b:City>Jakarta</b:City>
    <b:Author>
      <b:Author>
        <b:NameList>
          <b:Person>
            <b:Last>Widianto</b:Last>
            <b:First>Bambang</b:First>
          </b:Person>
        </b:NameList>
      </b:Author>
    </b:Author>
    <b:RefOrder>3</b:RefOrder>
  </b:Source>
  <b:Source>
    <b:Tag>Wor19</b:Tag>
    <b:SourceType>InternetSite</b:SourceType>
    <b:Guid>{D6BC388A-D03C-4235-B0C1-88D2484BBFD8}</b:Guid>
    <b:Title>Global Financial Index</b:Title>
    <b:Year>2019</b:Year>
    <b:Author>
      <b:Author>
        <b:NameList>
          <b:Person>
            <b:Last>Bank</b:Last>
            <b:First>World</b:First>
          </b:Person>
        </b:NameList>
      </b:Author>
    </b:Author>
    <b:Month>February</b:Month>
    <b:Day>13</b:Day>
    <b:URL> http://globalfindex.worldbank.org</b:URL>
    <b:RefOrder>4</b:RefOrder>
  </b:Source>
  <b:Source>
    <b:Tag>Rob172</b:Tag>
    <b:SourceType>JournalArticle</b:SourceType>
    <b:Guid>{2869A7FB-F648-4ADD-844D-30F437011209}</b:Guid>
    <b:Title>Komparari Peningkatan Inklusi Keuangan dan Indikator Pembangunan di Indonesia</b:Title>
    <b:Year>2017</b:Year>
    <b:Author>
      <b:Author>
        <b:NameList>
          <b:Person>
            <b:Last>Akyuwen</b:Last>
            <b:First>Roberto</b:First>
          </b:Person>
          <b:Person>
            <b:Last>Mangowal</b:Last>
            <b:First>Caroline</b:First>
          </b:Person>
        </b:NameList>
      </b:Author>
    </b:Author>
    <b:JournalName>Jurnal Modus</b:JournalName>
    <b:Pages>96-109</b:Pages>
    <b:RefOrder>5</b:RefOrder>
  </b:Source>
  <b:Source>
    <b:Tag>Ahm151</b:Tag>
    <b:SourceType>JournalArticle</b:SourceType>
    <b:Guid>{105BF04C-1A76-4364-800D-22B6BAC57D98}</b:Guid>
    <b:Author>
      <b:Author>
        <b:NameList>
          <b:Person>
            <b:Last>Ma'ruf</b:Last>
            <b:First>Ahmad</b:First>
          </b:Person>
          <b:Person>
            <b:Last>Desiyana</b:Last>
            <b:First>Tasya</b:First>
          </b:Person>
        </b:NameList>
      </b:Author>
    </b:Author>
    <b:Title>Literasi Keuangan Pelaku Ekonomi Rakyat</b:Title>
    <b:JournalName>Buletin Ekonomi</b:JournalName>
    <b:Year>2015</b:Year>
    <b:Pages>139-270</b:Pages>
    <b:RefOrder>6</b:RefOrder>
  </b:Source>
  <b:Source>
    <b:Tag>Rob002</b:Tag>
    <b:SourceType>Book</b:SourceType>
    <b:Guid>{68694119-BBC1-4870-861A-64C36296F349}</b:Guid>
    <b:Author>
      <b:Author>
        <b:NameList>
          <b:Person>
            <b:Last>Kiyosaki</b:Last>
            <b:First>Robert</b:First>
            <b:Middle>T.</b:Middle>
          </b:Person>
        </b:NameList>
      </b:Author>
    </b:Author>
    <b:Title>Rich Dad, Poor Dad</b:Title>
    <b:Year>2000</b:Year>
    <b:City>United State</b:City>
    <b:Publisher>Warner Book</b:Publisher>
    <b:RefOrder>7</b:RefOrder>
  </b:Source>
  <b:Source>
    <b:Tag>Geo092</b:Tag>
    <b:SourceType>JournalArticle</b:SourceType>
    <b:Guid>{64C8B5AE-EF88-482E-B4E0-82AE6D321C97}</b:Guid>
    <b:Author>
      <b:Author>
        <b:NameList>
          <b:Person>
            <b:Last>Gaberlavage</b:Last>
            <b:First>George</b:First>
          </b:Person>
        </b:NameList>
      </b:Author>
    </b:Author>
    <b:Title>Financial Literacy More Important Than Ever</b:Title>
    <b:Year>2009</b:Year>
    <b:Publisher>AARP International</b:Publisher>
    <b:JournalName>Economic Security and Work Journal</b:JournalName>
    <b:Pages>40</b:Pages>
    <b:RefOrder>8</b:RefOrder>
  </b:Source>
  <b:Source>
    <b:Tag>OJK131</b:Tag>
    <b:SourceType>Report</b:SourceType>
    <b:Guid>{66613021-E7CA-424C-9C57-D324FE1A998D}</b:Guid>
    <b:Title>Strategi Nasional Literasi Keuangan Indonesia</b:Title>
    <b:Year>2013</b:Year>
    <b:Author>
      <b:Author>
        <b:NameList>
          <b:Person>
            <b:Last>OJK</b:Last>
          </b:Person>
        </b:NameList>
      </b:Author>
    </b:Author>
    <b:Publisher>Otoritas Jasa Keuangan</b:Publisher>
    <b:City>Jakarta</b:City>
    <b:RefOrder>9</b:RefOrder>
  </b:Source>
  <b:Source>
    <b:Tag>OJK162</b:Tag>
    <b:SourceType>Report</b:SourceType>
    <b:Guid>{D09E0A7D-1886-476F-915D-CD72B1DE1C9C}</b:Guid>
    <b:Author>
      <b:Author>
        <b:NameList>
          <b:Person>
            <b:Last>OJK</b:Last>
          </b:Person>
        </b:NameList>
      </b:Author>
    </b:Author>
    <b:Title>Strategi Nasional Literasi Keuangan Indonesia</b:Title>
    <b:Year>2016</b:Year>
    <b:Publisher>Otoritas Jasa Keuangan</b:Publisher>
    <b:City>Jakarta</b:City>
    <b:RefOrder>10</b:RefOrder>
  </b:Source>
  <b:Source>
    <b:Tag>Nur16</b:Tag>
    <b:SourceType>ConferenceProceedings</b:SourceType>
    <b:Guid>{9D2AB344-27FC-4467-A1AE-34E18F7CC1AA}</b:Guid>
    <b:Title>Pengembangan Modul Edukasi Literasi Keuangan Islam dan Produk Halal untuk UMKM, Sebuah Pemikiran</b:Title>
    <b:Year>2016</b:Year>
    <b:City>Jakarta</b:City>
    <b:Author>
      <b:Author>
        <b:NameList>
          <b:Person>
            <b:Last>Wahyuni</b:Last>
            <b:First>Nur</b:First>
            <b:Middle>Ikka</b:Middle>
          </b:Person>
        </b:NameList>
      </b:Author>
    </b:Author>
    <b:ConferenceName>Prosiding Seminar Nasional Pendidikan Ekonomi dan Bisnis</b:ConferenceName>
    <b:RefOrder>11</b:RefOrder>
  </b:Source>
  <b:Source>
    <b:Tag>Dat18</b:Tag>
    <b:SourceType>InternetSite</b:SourceType>
    <b:Guid>{59786CCE-2748-46F3-9C24-4B64D88DC046}</b:Guid>
    <b:Title>Data Publish</b:Title>
    <b:Year>2018</b:Year>
    <b:InternetSiteTitle>Katadata</b:InternetSiteTitle>
    <b:Month>November</b:Month>
    <b:Day>11</b:Day>
    <b:URL>https://databoks.katadata.co.id/datapublish/2018/05/18/2018-jumlah-penduduk-indonesia-mencapai-265-juta-jiwa </b:URL>
    <b:RefOrder>12</b:RefOrder>
  </b:Source>
  <b:Source>
    <b:Tag>Jen051</b:Tag>
    <b:SourceType>ConferenceProceedings</b:SourceType>
    <b:Guid>{02D47D96-F56F-4895-ACF3-CA7DA34758AE}</b:Guid>
    <b:Title>Quarterlife Crisis: Then Unaddressed Phenomenon</b:Title>
    <b:Year>2005</b:Year>
    <b:Author>
      <b:Author>
        <b:NameList>
          <b:Person>
            <b:Last>M.Thorspecken</b:Last>
            <b:First>Jennifer</b:First>
          </b:Person>
        </b:NameList>
      </b:Author>
    </b:Author>
    <b:Pages>120-127</b:Pages>
    <b:ConferenceName>Prosiding Annual Conference of the New Jersey Counseling Association</b:ConferenceName>
    <b:City>New Jersey</b:City>
    <b:RefOrder>13</b:RefOrder>
  </b:Source>
  <b:Source>
    <b:Tag>Mas081</b:Tag>
    <b:SourceType>ConferenceProceedings</b:SourceType>
    <b:Guid>{38840FE0-6835-4783-BA95-FE4ECED0B07B}</b:Guid>
    <b:Title>Journey of Islamic Economics in the Modern World</b:Title>
    <b:Pages>385</b:Pages>
    <b:Year>2008</b:Year>
    <b:ConferenceName>The 7th International Conference in Islamic Economics</b:ConferenceName>
    <b:City>Makkah</b:City>
    <b:Publisher>Islamic Research and Training Institute - IDB</b:Publisher>
    <b:Author>
      <b:Author>
        <b:NameList>
          <b:Person>
            <b:Last>Muqorobin</b:Last>
            <b:First>Masyhudi</b:First>
          </b:Person>
        </b:NameList>
      </b:Author>
    </b:Author>
    <b:RefOrder>14</b:RefOrder>
  </b:Source>
  <b:Source>
    <b:Tag>Ism09</b:Tag>
    <b:SourceType>JournalArticle</b:SourceType>
    <b:Guid>{DD96570F-2504-465E-B431-E4CD0C12E00C}</b:Guid>
    <b:Title>Pemikiran Gustav Jung Tentang Teori Kepribadian (Implikasinya Terhadap Interaksi Sosial)</b:Title>
    <b:Year>2009</b:Year>
    <b:Author>
      <b:Author>
        <b:NameList>
          <b:Person>
            <b:Last>Ismail</b:Last>
            <b:First>Feby</b:First>
          </b:Person>
        </b:NameList>
      </b:Author>
    </b:Author>
    <b:JournalName>Jurnal IAIN Manado</b:JournalName>
    <b:Pages>1-12</b:Pages>
    <b:RefOrder>15</b:RefOrder>
  </b:Source>
  <b:Source>
    <b:Tag>Mui13</b:Tag>
    <b:SourceType>Book</b:SourceType>
    <b:Guid>{A88371DC-F51C-460B-9915-0351BB75CC77}</b:Guid>
    <b:Title>Sosiologi untuk SMA/MA Kelas X</b:Title>
    <b:Year>2013</b:Year>
    <b:City>Jakarta</b:City>
    <b:Publisher>Erlangga</b:Publisher>
    <b:Author>
      <b:Author>
        <b:NameList>
          <b:Person>
            <b:Last>Muin</b:Last>
            <b:First>Idianto</b:First>
          </b:Person>
        </b:NameList>
      </b:Author>
    </b:Author>
    <b:RefOrder>16</b:RefOrder>
  </b:Source>
  <b:Source>
    <b:Tag>OJK13</b:Tag>
    <b:SourceType>Report</b:SourceType>
    <b:Guid>{DC2682CB-917D-4AA5-84E5-D75E78FA9D28}</b:Guid>
    <b:Title>Survey Otoritas Jasa Keuangan</b:Title>
    <b:Year>2013</b:Year>
    <b:City>Jakarta</b:City>
    <b:Publisher>Financial Authority Service</b:Publisher>
    <b:Author>
      <b:Author>
        <b:NameList>
          <b:Person>
            <b:Last>OJK</b:Last>
          </b:Person>
        </b:NameList>
      </b:Author>
    </b:Author>
    <b:RefOrder>17</b:RefOrder>
  </b:Source>
  <b:Source>
    <b:Tag>OJK16</b:Tag>
    <b:SourceType>Report</b:SourceType>
    <b:Guid>{9EB856BE-5780-434D-BF12-4237DD9CFD1F}</b:Guid>
    <b:Author>
      <b:Author>
        <b:NameList>
          <b:Person>
            <b:Last>OJK</b:Last>
          </b:Person>
        </b:NameList>
      </b:Author>
    </b:Author>
    <b:Title>Financial Authority Service Regulation Year 2016, Chapter 1 Article 1 Paragraph 7 and Article 11</b:Title>
    <b:Year>2016</b:Year>
    <b:Publisher>Financial Authority Service</b:Publisher>
    <b:City>Jakarta</b:City>
    <b:RefOrder>18</b:RefOrder>
  </b:Source>
  <b:Source>
    <b:Tag>OJK18</b:Tag>
    <b:SourceType>InternetSite</b:SourceType>
    <b:Guid>{A3234530-742A-4995-ADFB-BB84ADE926F8}</b:Guid>
    <b:Title>Kanal</b:Title>
    <b:Author>
      <b:Author>
        <b:NameList>
          <b:Person>
            <b:Last>OJK</b:Last>
          </b:Person>
        </b:NameList>
      </b:Author>
    </b:Author>
    <b:InternetSiteTitle>Edukasi dan Perlindungan Konsumen</b:InternetSiteTitle>
    <b:ProductionCompany>Financial Service Authority</b:ProductionCompany>
    <b:YearAccessed>2018</b:YearAccessed>
    <b:MonthAccessed>November</b:MonthAccessed>
    <b:DayAccessed>11</b:DayAccessed>
    <b:URL>http://www.ojk.go.id/id/kanal/edukasi-dan-perlindungan-konsumen/Pages/Literasi-Keuangan.aspx</b:URL>
    <b:RefOrder>19</b:RefOrder>
  </b:Source>
  <b:Source>
    <b:Tag>Abd12</b:Tag>
    <b:SourceType>Book</b:SourceType>
    <b:Guid>{CEC2D9C7-A7C7-468C-8E57-B75E33B19259}</b:Guid>
    <b:Title>Buku Pintar Keuangan Syariah</b:Title>
    <b:Year>2012</b:Year>
    <b:Author>
      <b:Author>
        <b:NameList>
          <b:Person>
            <b:Last>Abdullah</b:Last>
            <b:First>Daud</b:First>
            <b:Middle>Vicary</b:Middle>
          </b:Person>
        </b:NameList>
      </b:Author>
    </b:Author>
    <b:City>Jakarta</b:City>
    <b:Publisher>Zaman</b:Publisher>
    <b:RefOrder>20</b:RefOrder>
  </b:Source>
  <b:Source>
    <b:Tag>Abd17</b:Tag>
    <b:SourceType>JournalArticle</b:SourceType>
    <b:Guid>{7F861A30-1E75-45EC-A859-EC11C9380741}</b:Guid>
    <b:Title>Factors Determining Islamic Financial Literacy Among Undergraduates</b:Title>
    <b:Year>2017</b:Year>
    <b:City>Kuala Lumpur</b:City>
    <b:Publisher>Journal of Emerging Economies and Islamic Research</b:Publisher>
    <b:Author>
      <b:Author>
        <b:NameList>
          <b:Person>
            <b:Last>Abdullah</b:Last>
            <b:First>Mohamad</b:First>
            <b:Middle>Azmi</b:Middle>
          </b:Person>
        </b:NameList>
      </b:Author>
    </b:Author>
    <b:Pages>70</b:Pages>
    <b:RefOrder>21</b:RefOrder>
  </b:Source>
  <b:Source>
    <b:Tag>Hai98</b:Tag>
    <b:SourceType>JournalArticle</b:SourceType>
    <b:Guid>{3EAF5765-89EF-4BC9-B04E-51D4C4488FC9}</b:Guid>
    <b:Author>
      <b:Author>
        <b:NameList>
          <b:Person>
            <b:Last>Chen</b:Last>
            <b:First>Haiyang</b:First>
          </b:Person>
          <b:Person>
            <b:Last>Volpe</b:Last>
            <b:First>Ronald</b:First>
            <b:Middle>P.</b:Middle>
          </b:Person>
        </b:NameList>
      </b:Author>
    </b:Author>
    <b:Title>An Analysis of Personal Financial Literacy Among College Students</b:Title>
    <b:Year>1998</b:Year>
    <b:Publisher>Financial Services Review</b:Publisher>
    <b:RefOrder>22</b:RefOrder>
  </b:Source>
  <b:Source>
    <b:Tag>Rob01</b:Tag>
    <b:SourceType>JournalArticle</b:SourceType>
    <b:Guid>{2050B6E5-7EDC-4AAA-8E38-DCA68F981147}</b:Guid>
    <b:Author>
      <b:Author>
        <b:NameList>
          <b:Person>
            <b:Last>Robbins</b:Last>
            <b:First>Alexander</b:First>
          </b:Person>
          <b:Person>
            <b:Last>Wilner</b:Last>
            <b:First>Abby</b:First>
          </b:Person>
        </b:NameList>
      </b:Author>
    </b:Author>
    <b:Title>Quarterlife Crisis: The Unique Challenge of Life in Your Twentie</b:Title>
    <b:City>London</b:City>
    <b:Year>2001</b:Year>
    <b:Publisher>Penguin Putman</b:Publisher>
    <b:RefOrder>23</b:RefOrder>
  </b:Source>
  <b:Source>
    <b:Tag>MTh05</b:Tag>
    <b:SourceType>JournalArticle</b:SourceType>
    <b:Guid>{F87D11A0-D9A2-4387-91A5-507C403BF4C9}</b:Guid>
    <b:Author>
      <b:Author>
        <b:NameList>
          <b:Person>
            <b:Last>M. Thorspecken</b:Last>
            <b:First>Jennifer</b:First>
          </b:Person>
        </b:NameList>
      </b:Author>
    </b:Author>
    <b:Title>Quarterlife Crisis: Then Unaddressed Phenomenon</b:Title>
    <b:City>New Jersey</b:City>
    <b:Year>2005</b:Year>
    <b:Publisher>Prosiding Annual Conference of the New Jersey Counseling Association</b:Publisher>
    <b:RefOrder>24</b:RefOrder>
  </b:Source>
  <b:Source>
    <b:Tag>Bha74</b:Tag>
    <b:SourceType>ConferenceProceedings</b:SourceType>
    <b:Guid>{B24A2F8B-6FBA-4EDC-8622-EB7A758BFBA4}</b:Guid>
    <b:Author>
      <b:Author>
        <b:NameList>
          <b:Person>
            <b:Last>Thapa</b:Last>
            <b:First>Bharat</b:First>
            <b:Middle>Singh</b:Middle>
          </b:Person>
          <b:Person>
            <b:Last>Nepal</b:Last>
            <b:First>Surendra</b:First>
            <b:Middle>Raj</b:Middle>
          </b:Person>
        </b:NameList>
      </b:Author>
    </b:Author>
    <b:Title>Financial Literacy in Nepal: A Survey Analysis from Collage Students</b:Title>
    <b:Year>2015</b:Year>
    <b:Pages>49-74</b:Pages>
    <b:ConferenceName>Proseding 2nd International Conference</b:ConferenceName>
    <b:City>Kathmandu</b:City>
    <b:Publisher>NRB Economic Review</b:Publisher>
    <b:RefOrder>25</b:RefOrder>
  </b:Source>
  <b:Source>
    <b:Tag>Sek151</b:Tag>
    <b:SourceType>JournalArticle</b:SourceType>
    <b:Guid>{C681BFEE-F732-4F2C-9DC5-8CCA9F679AAD}</b:Guid>
    <b:Title>A Study on Financial Literacy and Its Determinants among Gen Y Employees in Coimbatore City</b:Title>
    <b:Pages>34-45</b:Pages>
    <b:Year>2015</b:Year>
    <b:Author>
      <b:Author>
        <b:NameList>
          <b:Person>
            <b:Last>Sekar</b:Last>
          </b:Person>
          <b:Person>
            <b:Last>Gowri</b:Last>
          </b:Person>
        </b:NameList>
      </b:Author>
    </b:Author>
    <b:JournalName>Great Lakes Herald</b:JournalName>
    <b:RefOrder>26</b:RefOrder>
  </b:Source>
  <b:Source>
    <b:Tag>Far151</b:Tag>
    <b:SourceType>JournalArticle</b:SourceType>
    <b:Guid>{C6E78E08-18B8-4B70-B97E-B17E6E25DD87}</b:Guid>
    <b:Author>
      <b:Author>
        <b:NameList>
          <b:Person>
            <b:Last>Margaretha</b:Last>
            <b:First>Farah</b:First>
          </b:Person>
          <b:Person>
            <b:Last>Pambudhi</b:Last>
            <b:First>Reza</b:First>
            <b:Middle>Arief</b:Middle>
          </b:Person>
        </b:NameList>
      </b:Author>
    </b:Author>
    <b:Title>Tingkat Literasi Keuangan Pada Mahasiswa S-1 Fakultas Ekonomi</b:Title>
    <b:JournalName>Jurnal Manajemen dan Kewirausahaan</b:JournalName>
    <b:Year>2015</b:Year>
    <b:Pages>76-85</b:Pages>
    <b:RefOrder>27</b:RefOrder>
  </b:Source>
  <b:Source>
    <b:Tag>Ana131</b:Tag>
    <b:SourceType>JournalArticle</b:SourceType>
    <b:Guid>{3407E494-D312-4C96-BFAA-B3390E5024C8}</b:Guid>
    <b:Author>
      <b:Author>
        <b:NameList>
          <b:Person>
            <b:Last>Mendari</b:Last>
            <b:First>Anastasia</b:First>
            <b:Middle>Sri</b:Middle>
          </b:Person>
          <b:Person>
            <b:Last>Kewal</b:Last>
            <b:First>Suramaya</b:First>
            <b:Middle>Suci</b:Middle>
          </b:Person>
        </b:NameList>
      </b:Author>
    </b:Author>
    <b:Title>Tingkat Literasi Keuangan di Kalangan Mahasiswa STIE Musi</b:Title>
    <b:JournalName>Jurnal Economia</b:JournalName>
    <b:Year>2013</b:Year>
    <b:Pages>130-140</b:Pages>
    <b:RefOrder>28</b:RefOrder>
  </b:Source>
  <b:Source>
    <b:Tag>Joh161</b:Tag>
    <b:SourceType>Book</b:SourceType>
    <b:Guid>{12AE54CB-5FC8-4DFD-A1FA-C6E4077BD277}</b:Guid>
    <b:Author>
      <b:Author>
        <b:NameList>
          <b:Person>
            <b:Last>Creswell</b:Last>
            <b:First>John</b:First>
            <b:Middle>W</b:Middle>
          </b:Person>
        </b:NameList>
      </b:Author>
    </b:Author>
    <b:Title>Research Design Pendekatan Kualitatif, Kuantitatif dan Campuran</b:Title>
    <b:Year>2016</b:Year>
    <b:City>Yogyakarta</b:City>
    <b:Publisher>Pustaka Pelajar</b:Publisher>
    <b:RefOrder>29</b:RefOrder>
  </b:Source>
  <b:Source>
    <b:Tag>Sum141</b:Tag>
    <b:SourceType>Book</b:SourceType>
    <b:Guid>{A741CDB2-5577-4BB7-AD2C-08B311412248}</b:Guid>
    <b:Author>
      <b:Author>
        <b:NameList>
          <b:Person>
            <b:Last>Sumanto</b:Last>
          </b:Person>
        </b:NameList>
      </b:Author>
    </b:Author>
    <b:Title>Statistika Terapan</b:Title>
    <b:Year>2014</b:Year>
    <b:City>Jakarta</b:City>
    <b:Publisher>CAPS (Center of Academic Publishing Service)</b:Publisher>
    <b:RefOrder>30</b:RefOrder>
  </b:Source>
  <b:Source>
    <b:Tag>19Fe</b:Tag>
    <b:SourceType>InternetSite</b:SourceType>
    <b:Guid>{B9C733DD-F17E-4FD8-9F15-CDB090E584F9}</b:Guid>
    <b:Year>2019</b:Year>
    <b:Month>February</b:Month>
    <b:Day>13</b:Day>
    <b:URL>http://sciencing.com/slovins-formula-sampling-techniques-5475547.html</b:URL>
    <b:RefOrder>31</b:RefOrder>
  </b:Source>
  <b:Source>
    <b:Tag>Sug122</b:Tag>
    <b:SourceType>Book</b:SourceType>
    <b:Guid>{3D864658-CAE2-4E09-8352-E68B03B4B6B9}</b:Guid>
    <b:Title>Metode Penelitian Kuantitatif, Kualitatif, dan R&amp;D</b:Title>
    <b:Year>2012</b:Year>
    <b:Author>
      <b:Author>
        <b:NameList>
          <b:Person>
            <b:Last>Sugiyono</b:Last>
          </b:Person>
        </b:NameList>
      </b:Author>
    </b:Author>
    <b:City>Bandung</b:City>
    <b:Publisher>Penerbit Alfabeta</b:Publisher>
    <b:RefOrder>32</b:RefOrder>
  </b:Source>
  <b:Source>
    <b:Tag>Har101</b:Tag>
    <b:SourceType>Book</b:SourceType>
    <b:Guid>{7A3DE0AA-ACB1-4081-B0DB-6673F35437DE}</b:Guid>
    <b:Author>
      <b:Author>
        <b:NameList>
          <b:Person>
            <b:Last>Herdiansyah</b:Last>
            <b:First>Haris</b:First>
          </b:Person>
        </b:NameList>
      </b:Author>
    </b:Author>
    <b:Title>Metodologi Penelitian Kualitatif untuk Ilmu-ilmu Sosial</b:Title>
    <b:Year>2010</b:Year>
    <b:City>Jakarta</b:City>
    <b:Publisher>Salemba Humanika</b:Publisher>
    <b:RefOrder>33</b:RefOrder>
  </b:Source>
  <b:Source>
    <b:Tag>Alg151</b:Tag>
    <b:SourceType>Book</b:SourceType>
    <b:Guid>{AB0C038F-5688-4F98-9296-0F02201D114A}</b:Guid>
    <b:Author>
      <b:Author>
        <b:NameList>
          <b:Person>
            <b:Last>Algifari</b:Last>
          </b:Person>
        </b:NameList>
      </b:Author>
    </b:Author>
    <b:Title>Analisis Regresi Untuk Bisnis dan Ekonomi</b:Title>
    <b:Year>2015</b:Year>
    <b:City>Yogyakarta</b:City>
    <b:Publisher>BPFE-Yogyakarta</b:Publisher>
    <b:RefOrder>34</b:RefOrder>
  </b:Source>
  <b:Source>
    <b:Tag>Wil151</b:Tag>
    <b:SourceType>Book</b:SourceType>
    <b:Guid>{FB443433-5B53-4AE7-81D5-0D09025238AB}</b:Guid>
    <b:Author>
      <b:Author>
        <b:NameList>
          <b:Person>
            <b:Last>Abdillah</b:Last>
            <b:First>Willy</b:First>
          </b:Person>
          <b:Person>
            <b:Last>Hartono</b:Last>
            <b:First>Jogiyanto</b:First>
          </b:Person>
        </b:NameList>
      </b:Author>
    </b:Author>
    <b:Title>Partial Least Square (PLS) - Alternative Structural Equation Modeling (SEM) dalam Penelitian Bisnis</b:Title>
    <b:Year>2015</b:Year>
    <b:City>Yogyakarta</b:City>
    <b:Publisher>Penerbit Andi</b:Publisher>
    <b:RefOrder>35</b:RefOrder>
  </b:Source>
  <b:Source>
    <b:Tag>Agu151</b:Tag>
    <b:SourceType>Book</b:SourceType>
    <b:Guid>{0CCF5B9E-D3B0-4F54-92C5-39D28FEE717C}</b:Guid>
    <b:Author>
      <b:Author>
        <b:NameList>
          <b:Person>
            <b:Last>Basuki</b:Last>
            <b:First>Agus</b:First>
            <b:Middle>Tri</b:Middle>
          </b:Person>
        </b:NameList>
      </b:Author>
    </b:Author>
    <b:Title>Regresi dalam Penelitian Ekonomi dan Bisnis</b:Title>
    <b:Year>2015</b:Year>
    <b:City>Yogyakarta</b:City>
    <b:Publisher>Danisa Media</b:Publisher>
    <b:RefOrder>36</b:RefOrder>
  </b:Source>
  <b:Source>
    <b:Tag>Mic18</b:Tag>
    <b:SourceType>JournalArticle</b:SourceType>
    <b:Guid>{434C74AE-F323-4F21-89E7-7707B9383645}</b:Guid>
    <b:Author>
      <b:Author>
        <b:NameList>
          <b:Person>
            <b:Last>Flood</b:Last>
            <b:First>Michael</b:First>
          </b:Person>
        </b:NameList>
      </b:Author>
    </b:Author>
    <b:Title>Gender Equality: Engaging Men in Change</b:Title>
    <b:Year>2018</b:Year>
    <b:JournalName>The Art of Medicine</b:JournalName>
    <b:Pages>1-2</b:Pages>
    <b:RefOrder>37</b:RefOrder>
  </b:Source>
  <b:Source>
    <b:Tag>Cha18</b:Tag>
    <b:SourceType>JournalArticle</b:SourceType>
    <b:Guid>{2A5C3E63-EA1B-4661-B21F-12DB63305E98}</b:Guid>
    <b:Author>
      <b:Author>
        <b:NameList>
          <b:Person>
            <b:Last>Nyman</b:Last>
            <b:First>Charlott</b:First>
          </b:Person>
          <b:Person>
            <b:Last>Reinikainen</b:Last>
            <b:First>Lasse</b:First>
          </b:Person>
          <b:Person>
            <b:Last>Eriksson</b:Last>
            <b:First>Kristina</b:First>
          </b:Person>
        </b:NameList>
      </b:Author>
    </b:Author>
    <b:Title>The Tension Between Gender Equality and Doing Gender Swedish Couples' Talk About The Division of Housework</b:Title>
    <b:JournalName>Women's Studies International Forum</b:JournalName>
    <b:Year>2018</b:Year>
    <b:Pages>44</b:Pages>
    <b:RefOrder>38</b:RefOrder>
  </b:Source>
  <b:Source>
    <b:Tag>Muh18</b:Tag>
    <b:SourceType>JournalArticle</b:SourceType>
    <b:Guid>{3CE4035F-2FD9-4340-B8A8-87C685762514}</b:Guid>
    <b:Author>
      <b:Author>
        <b:NameList>
          <b:Person>
            <b:Last>Haider</b:Last>
            <b:First>Muhammad</b:First>
            <b:Middle>Jamal</b:Middle>
          </b:Person>
          <b:Person>
            <b:Last>Changchun</b:Last>
            <b:First>Gao</b:First>
          </b:Person>
          <b:Person>
            <b:Last>Akram</b:Last>
            <b:First>Tayyaba</b:First>
          </b:Person>
          <b:Person>
            <b:Last>Hussain</b:Last>
            <b:First>Syed</b:First>
            <b:Middle>Talib</b:Middle>
          </b:Person>
        </b:NameList>
      </b:Author>
    </b:Author>
    <b:Title>Exploring Gender Effects in Intention to Islamic Mobile Banking Adoption: An Empirical Study</b:Title>
    <b:JournalName>Arab Economic and Business Journal, Holy Spirit University of Kaslik</b:JournalName>
    <b:Year>2018</b:Year>
    <b:Pages>28</b:Pages>
    <b:RefOrder>39</b:RefOrder>
  </b:Source>
  <b:Source>
    <b:Tag>And18</b:Tag>
    <b:SourceType>JournalArticle</b:SourceType>
    <b:Guid>{F47A5D1E-7F1C-4588-9B2A-362D4535DEBC}</b:Guid>
    <b:Author>
      <b:Author>
        <b:NameList>
          <b:Person>
            <b:Last>Cupák</b:Last>
            <b:First>Andrej</b:First>
          </b:Person>
          <b:Person>
            <b:Last>Fessler</b:Last>
            <b:First>Pirmin</b:First>
          </b:Person>
          <b:Person>
            <b:Last>Schneebaum</b:Last>
            <b:First>Alyssa</b:First>
          </b:Person>
          <b:Person>
            <b:Last>Silgoner</b:Last>
            <b:First>Maria</b:First>
          </b:Person>
        </b:NameList>
      </b:Author>
    </b:Author>
    <b:Title>Decomposing Gender Gaps in Financial Literacy: New International Evidence</b:Title>
    <b:JournalName>Economics Letters</b:JournalName>
    <b:Year>2018</b:Year>
    <b:Pages>5</b:Pages>
    <b:RefOrder>40</b:RefOrder>
  </b:Source>
  <b:Source>
    <b:Tag>Cha181</b:Tag>
    <b:SourceType>JournalArticle</b:SourceType>
    <b:Guid>{D366EDCE-7D1E-4A43-AF04-7E8FCBD2258C}</b:Guid>
    <b:Author>
      <b:Author>
        <b:NameList>
          <b:Person>
            <b:Last>Nyman</b:Last>
            <b:First>Charlott</b:First>
          </b:Person>
          <b:Person>
            <b:Last>Reinikainen</b:Last>
            <b:First>Lasse</b:First>
          </b:Person>
          <b:Person>
            <b:Last>Eriksson</b:Last>
            <b:First>Kristina</b:First>
          </b:Person>
        </b:NameList>
      </b:Author>
    </b:Author>
    <b:Title>The Tension Between Gender Equality and Doing Gender Swedish Couples' Talk About The Division of Housework</b:Title>
    <b:JournalName>Women's Studies International Forum</b:JournalName>
    <b:Year>2018</b:Year>
    <b:Pages>44</b:Pages>
    <b:RefOrder>41</b:RefOrder>
  </b:Source>
  <b:Source>
    <b:Tag>De19</b:Tag>
    <b:SourceType>Interview</b:SourceType>
    <b:Guid>{7F385B36-F9FE-4221-88F2-A0FF8E333E9F}</b:Guid>
    <b:Title>Financial Literacy</b:Title>
    <b:Year>2019</b:Year>
    <b:Author>
      <b:Interviewee>
        <b:NameList>
          <b:Person>
            <b:Last>De</b:Last>
            <b:First>Initial</b:First>
          </b:Person>
        </b:NameList>
      </b:Interviewee>
      <b:Interviewer>
        <b:NameList>
          <b:Person>
            <b:Last>Rahmatia</b:Last>
            <b:First>Alfina</b:First>
          </b:Person>
        </b:NameList>
      </b:Interviewer>
    </b:Author>
    <b:Month>June</b:Month>
    <b:Day>12</b:Day>
    <b:RefOrder>42</b:RefOrder>
  </b:Source>
  <b:Source>
    <b:Tag>Ini19</b:Tag>
    <b:SourceType>Interview</b:SourceType>
    <b:Guid>{13BF9CAF-6205-49DB-95B2-01B3EAA24D2B}</b:Guid>
    <b:Author>
      <b:Interviewee>
        <b:NameList>
          <b:Person>
            <b:Last>Si</b:Last>
            <b:First>Initial</b:First>
          </b:Person>
        </b:NameList>
      </b:Interviewee>
      <b:Interviewer>
        <b:NameList>
          <b:Person>
            <b:Last>Rahmatia</b:Last>
            <b:First>Alfina</b:First>
          </b:Person>
        </b:NameList>
      </b:Interviewer>
    </b:Author>
    <b:Title>Financial Literacy</b:Title>
    <b:Year>2019</b:Year>
    <b:Month>June</b:Month>
    <b:Day>13</b:Day>
    <b:RefOrder>43</b:RefOrder>
  </b:Source>
  <b:Source>
    <b:Tag>Yan16</b:Tag>
    <b:SourceType>JournalArticle</b:SourceType>
    <b:Guid>{68BF8F2D-89BB-44AF-B01C-A4CEA0E162D7}</b:Guid>
    <b:Title>A Stable Marriage Requires Communication</b:Title>
    <b:Year>2016</b:Year>
    <b:Author>
      <b:Author>
        <b:NameList>
          <b:Person>
            <b:Last>Gonczarowski</b:Last>
            <b:First>Yanni</b:First>
            <b:Middle>A.</b:Middle>
          </b:Person>
          <b:Person>
            <b:Last>Nisan</b:Last>
            <b:First>Noam</b:First>
          </b:Person>
          <b:Person>
            <b:Last>Ostrovsky</b:Last>
            <b:First>Rafail</b:First>
          </b:Person>
          <b:Person>
            <b:Last>Rosenbaum</b:Last>
            <b:First>Will</b:First>
          </b:Person>
        </b:NameList>
      </b:Author>
    </b:Author>
    <b:JournalName>Games and Economic Behaviour</b:JournalName>
    <b:Pages>4</b:Pages>
    <b:RefOrder>44</b:RefOrder>
  </b:Source>
  <b:Source>
    <b:Tag>Jin19</b:Tag>
    <b:SourceType>JournalArticle</b:SourceType>
    <b:Guid>{EC424722-CF2B-424D-926E-2E279B7B7356}</b:Guid>
    <b:Author>
      <b:Author>
        <b:NameList>
          <b:Person>
            <b:Last>Zou</b:Last>
            <b:First>Jing</b:First>
          </b:Person>
          <b:Person>
            <b:Last>Deng</b:Last>
            <b:First>Xiaojun</b:First>
          </b:Person>
        </b:NameList>
      </b:Author>
    </b:Author>
    <b:Title>Financial Literacy, Housing Value and Household Financial Market Participation: Evidence from Urban China</b:Title>
    <b:JournalName>China Economic Review</b:JournalName>
    <b:Year>2019</b:Year>
    <b:Pages>62-63</b:Pages>
    <b:RefOrder>45</b:RefOrder>
  </b:Source>
  <b:Source>
    <b:Tag>Ini191</b:Tag>
    <b:SourceType>Interview</b:SourceType>
    <b:Guid>{3C94D5E5-4CFB-4BC9-86E1-9E326D06BC21}</b:Guid>
    <b:Title>Financial Literacy</b:Title>
    <b:Year>2019</b:Year>
    <b:Author>
      <b:Interviewee>
        <b:NameList>
          <b:Person>
            <b:Last>Ba</b:Last>
            <b:First>Initial</b:First>
          </b:Person>
        </b:NameList>
      </b:Interviewee>
      <b:Interviewer>
        <b:NameList>
          <b:Person>
            <b:Last>Rahmatia</b:Last>
            <b:First>Alfina</b:First>
          </b:Person>
        </b:NameList>
      </b:Interviewer>
    </b:Author>
    <b:Month>June</b:Month>
    <b:Day>11</b:Day>
    <b:RefOrder>46</b:RefOrder>
  </b:Source>
  <b:Source>
    <b:Tag>Ini192</b:Tag>
    <b:SourceType>Interview</b:SourceType>
    <b:Guid>{079C17A2-BB1D-4E7C-810B-91C176BCB307}</b:Guid>
    <b:Author>
      <b:Interviewee>
        <b:NameList>
          <b:Person>
            <b:Last>Ha</b:Last>
            <b:First>Initial</b:First>
          </b:Person>
        </b:NameList>
      </b:Interviewee>
      <b:Interviewer>
        <b:NameList>
          <b:Person>
            <b:Last>Rahmatia</b:Last>
            <b:First>Alfina</b:First>
          </b:Person>
        </b:NameList>
      </b:Interviewer>
    </b:Author>
    <b:Title>Financial Literacy</b:Title>
    <b:Year>2019</b:Year>
    <b:Month>June</b:Month>
    <b:Day>13</b:Day>
    <b:RefOrder>47</b:RefOrder>
  </b:Source>
  <b:Source>
    <b:Tag>Chr19</b:Tag>
    <b:SourceType>JournalArticle</b:SourceType>
    <b:Guid>{542A0A18-1B59-4066-9C34-BDA67EE20147}</b:Guid>
    <b:Title>Experience Wears The Trousers: Exploring Gender and Attitude to Financial Risk</b:Title>
    <b:Year>2019</b:Year>
    <b:Pages>504</b:Pages>
    <b:Author>
      <b:Author>
        <b:NameList>
          <b:Person>
            <b:Last>Brooks</b:Last>
            <b:First>Chris</b:First>
          </b:Person>
          <b:Person>
            <b:Last>Sangiorgi</b:Last>
            <b:First>Ivan</b:First>
          </b:Person>
          <b:Person>
            <b:Last>Hillenbrand</b:Last>
            <b:First>Carola</b:First>
          </b:Person>
          <b:Person>
            <b:Last>Money</b:Last>
            <b:First>Kevin</b:First>
          </b:Person>
        </b:NameList>
      </b:Author>
    </b:Author>
    <b:JournalName>Journal of Economic Behavior and Organization</b:JournalName>
    <b:RefOrder>48</b:RefOrder>
  </b:Source>
  <b:Source>
    <b:Tag>Dol</b:Tag>
    <b:SourceType>JournalArticle</b:SourceType>
    <b:Guid>{007C9803-8EC9-40E7-990F-242EE3986B24}</b:Guid>
    <b:Author>
      <b:Author>
        <b:NameList>
          <b:Person>
            <b:Last>Moreno-Herrero</b:Last>
            <b:First>Dolores</b:First>
          </b:Person>
          <b:Person>
            <b:Last>Salas-Velasco</b:Last>
            <b:First>Manuel</b:First>
          </b:Person>
          <b:Person>
            <b:Last>Sánchez-Campillo</b:Last>
            <b:First>José</b:First>
          </b:Person>
        </b:NameList>
      </b:Author>
    </b:Author>
    <b:Title>Factors that Influence The Level of Financial Literacy Among Young People: The Role of Parental Engagement and Students' Experiences with Money Matters</b:Title>
    <b:JournalName>Children and Youth Services Review</b:JournalName>
    <b:Year>2018</b:Year>
    <b:Pages>347</b:Pages>
    <b:RefOrder>49</b:RefOrder>
  </b:Source>
  <b:Source>
    <b:Tag>Tho18</b:Tag>
    <b:SourceType>JournalArticle</b:SourceType>
    <b:Guid>{65E20125-A78A-4783-85F6-0F4783E62260}</b:Guid>
    <b:Author>
      <b:Author>
        <b:NameList>
          <b:Person>
            <b:Last>Hanson</b:Last>
            <b:First>Thomas</b:First>
            <b:Middle>A.</b:Middle>
          </b:Person>
          <b:Person>
            <b:Last>Olson</b:Last>
            <b:First>Peter</b:First>
            <b:Middle>M.</b:Middle>
          </b:Person>
        </b:NameList>
      </b:Author>
    </b:Author>
    <b:Title>Financial Literacy and Family Communication Patterns</b:Title>
    <b:JournalName>Journal of Behavioral and Experimental Finance</b:JournalName>
    <b:Year>2018</b:Year>
    <b:Pages>23</b:Pages>
    <b:RefOrder>50</b:RefOrder>
  </b:Source>
  <b:Source>
    <b:Tag>Ant18</b:Tag>
    <b:SourceType>JournalArticle</b:SourceType>
    <b:Guid>{C01DF323-E3E5-4A28-9E6C-4DDF728F6F7B}</b:Guid>
    <b:Author>
      <b:Author>
        <b:NameList>
          <b:Person>
            <b:Last>Grohmann</b:Last>
            <b:First>Antonia</b:First>
          </b:Person>
        </b:NameList>
      </b:Author>
    </b:Author>
    <b:Title>Financial Literacy and Financial Behavior: Evidence from the Emerging Asian Middle Class</b:Title>
    <b:JournalName>Pacific-Basin Finance Journal</b:JournalName>
    <b:Year>2018</b:Year>
    <b:Pages>140</b:Pages>
    <b:RefOrder>51</b:RefOrder>
  </b:Source>
  <b:Source>
    <b:Tag>Mon15</b:Tag>
    <b:SourceType>JournalArticle</b:SourceType>
    <b:Guid>{CF22C1B0-260F-4077-9495-E4EADB8B108E}</b:Guid>
    <b:Author>
      <b:Author>
        <b:NameList>
          <b:Person>
            <b:Last>Paiella</b:Last>
            <b:First>Monica</b:First>
          </b:Person>
        </b:NameList>
      </b:Author>
    </b:Author>
    <b:Title>Financial Literacy and Subjective Expectations Questions: A Validation Exercise</b:Title>
    <b:JournalName>Research in Economics</b:JournalName>
    <b:Year>2015</b:Year>
    <b:Pages>17-18</b:Pages>
    <b:RefOrder>52</b:RefOrder>
  </b:Source>
  <b:Source>
    <b:Tag>Osc17</b:Tag>
    <b:SourceType>JournalArticle</b:SourceType>
    <b:Guid>{A3F5CAC2-9FFE-41DB-8046-24A14247B3FC}</b:Guid>
    <b:Author>
      <b:Author>
        <b:NameList>
          <b:Person>
            <b:Last>Stolper</b:Last>
            <b:First>Oscar</b:First>
          </b:Person>
        </b:NameList>
      </b:Author>
    </b:Author>
    <b:Title>It Takes Two to Tango: Households’ Response to Financial Advice and The Role of Financial Literacy</b:Title>
    <b:JournalName>Journal of Banking and Finance</b:JournalName>
    <b:Year>2017</b:Year>
    <b:Pages>22-23</b:Pages>
    <b:RefOrder>53</b:RefOrder>
  </b:Source>
  <b:Source>
    <b:Tag>Ini193</b:Tag>
    <b:SourceType>Interview</b:SourceType>
    <b:Guid>{E0EF24B0-2A1D-4A8F-8485-FEF151C36ADC}</b:Guid>
    <b:Title>Financial Literacy</b:Title>
    <b:Year>2019</b:Year>
    <b:Author>
      <b:Interviewee>
        <b:NameList>
          <b:Person>
            <b:Last>UI</b:Last>
            <b:First>Initial</b:First>
          </b:Person>
        </b:NameList>
      </b:Interviewee>
      <b:Interviewer>
        <b:NameList>
          <b:Person>
            <b:Last>Rahmatia</b:Last>
            <b:First>Alfina</b:First>
          </b:Person>
        </b:NameList>
      </b:Interviewer>
    </b:Author>
    <b:Month>June</b:Month>
    <b:Day>10</b:Day>
    <b:RefOrder>54</b:RefOrder>
  </b:Source>
  <b:Source>
    <b:Tag>Gin18</b:Tag>
    <b:SourceType>JournalArticle</b:SourceType>
    <b:Guid>{332136C5-0FD1-40FA-B5D3-87F38DAA4DC3}</b:Guid>
    <b:Author>
      <b:Author>
        <b:NameList>
          <b:Person>
            <b:Last>Sakinah</b:Last>
            <b:First>Gina</b:First>
          </b:Person>
          <b:Person>
            <b:Last>Mudakir</b:Last>
            <b:First>Bagio</b:First>
          </b:Person>
        </b:NameList>
      </b:Author>
    </b:Author>
    <b:Title>Analisis Literasi Keuangan Mahasiswa S-1 Fakultas Ekonomika dan Bisnis Universitas Diponegoro Angkatan 2014-2017</b:Title>
    <b:JournalName>Jurnal Dinamika Ekonomi Pembangunan</b:JournalName>
    <b:Year>2018</b:Year>
    <b:Pages>14</b:Pages>
    <b:RefOrder>55</b:RefOrder>
  </b:Source>
  <b:Source>
    <b:Tag>Lip19</b:Tag>
    <b:SourceType>InternetSite</b:SourceType>
    <b:Guid>{AFF61620-1256-440A-8C63-3014657C3836}</b:Guid>
    <b:Title>Ojk Sebut Baru 234 Persen Anak Muda Paham Produk Keuangan</b:Title>
    <b:Year>2019</b:Year>
    <b:Month>August</b:Month>
    <b:Day>10</b:Day>
    <b:Author>
      <b:Author>
        <b:NameList>
          <b:Person>
            <b:Last>Liputan6</b:Last>
          </b:Person>
        </b:NameList>
      </b:Author>
    </b:Author>
    <b:InternetSiteTitle>Bisnis</b:InternetSiteTitle>
    <b:URL>https://www.liputan6.com/bisnis/read/3532963/ojk-sebut-baru-234-persen-anak-muda-ri-paham-produk-keuangan </b:URL>
    <b:RefOrder>56</b:RefOrder>
  </b:Source>
  <b:Source>
    <b:Tag>Kom19</b:Tag>
    <b:SourceType>InternetSite</b:SourceType>
    <b:Guid>{8A8226BC-9476-4253-976D-61EF7DCEF199}</b:Guid>
    <b:Author>
      <b:Author>
        <b:NameList>
          <b:Person>
            <b:Last>Kompas</b:Last>
          </b:Person>
        </b:NameList>
      </b:Author>
    </b:Author>
    <b:Title>Literasi Keuangan Untuk Generasi Milenial</b:Title>
    <b:InternetSiteTitle>Ekonomi Kompas</b:InternetSiteTitle>
    <b:Year>2019</b:Year>
    <b:Month>August</b:Month>
    <b:Day>10</b:Day>
    <b:URL>https://ekonomi.kompas.com/read/2018/11/22/153800926/literasi-keuangan-untuk-generasi-milenial </b:URL>
    <b:RefOrder>57</b:RefOrder>
  </b:Source>
  <b:Source>
    <b:Tag>Fin19</b:Tag>
    <b:SourceType>InternetSite</b:SourceType>
    <b:Guid>{438846FD-F851-4DC4-A582-CFEAB5C96734}</b:Guid>
    <b:Author>
      <b:Author>
        <b:NameList>
          <b:Person>
            <b:Last>Finlit</b:Last>
          </b:Person>
        </b:NameList>
      </b:Author>
    </b:Author>
    <b:Year>2019</b:Year>
    <b:Month>August</b:Month>
    <b:Day>10</b:Day>
    <b:URL>http://www.finlit.mhfi.com</b:URL>
    <b:RefOrder>58</b:RefOrder>
  </b:Source>
  <b:Source>
    <b:Tag>Oli</b:Tag>
    <b:SourceType>JournalArticle</b:SourceType>
    <b:Guid>{9D5BDA7E-1609-42C7-887A-EB5C2FCD3A78}</b:Guid>
    <b:Author>
      <b:Author>
        <b:NameList>
          <b:Person>
            <b:Last>Robinson</b:Last>
            <b:First>Oliver</b:First>
            <b:Middle>C</b:Middle>
          </b:Person>
          <b:Person>
            <b:Last>Wright</b:Last>
            <b:First>Gordon</b:First>
            <b:Middle>R.T.</b:Middle>
          </b:Person>
          <b:Person>
            <b:Last>Smith</b:Last>
            <b:First>Jonathan</b:First>
            <b:Middle>A</b:Middle>
          </b:Person>
        </b:NameList>
      </b:Author>
    </b:Author>
    <b:Title>The Holistic Phase Model of Early Adult Crisis</b:Title>
    <b:City>2013</b:City>
    <b:Publisher>Journal of Adult Development</b:Publisher>
    <b:Volume>20</b:Volume>
    <b:RefOrder>59</b:RefOrder>
  </b:Source>
</b:Sources>
</file>

<file path=customXml/itemProps1.xml><?xml version="1.0" encoding="utf-8"?>
<ds:datastoreItem xmlns:ds="http://schemas.openxmlformats.org/officeDocument/2006/customXml" ds:itemID="{7007FA4A-BA1F-46AF-A8E6-B9874B99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9324</Words>
  <Characters>53148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UIN Walisongo Semarang</Company>
  <LinksUpToDate>false</LinksUpToDate>
  <CharactersWithSpaces>62348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Arief Dwi Saputra</cp:lastModifiedBy>
  <cp:revision>2</cp:revision>
  <cp:lastPrinted>2014-11-12T11:00:00Z</cp:lastPrinted>
  <dcterms:created xsi:type="dcterms:W3CDTF">2020-12-31T07:19:00Z</dcterms:created>
  <dcterms:modified xsi:type="dcterms:W3CDTF">2020-12-31T07:19:00Z</dcterms:modified>
</cp:coreProperties>
</file>