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92" w:rsidRDefault="003F42E7" w:rsidP="00863192">
      <w:pPr>
        <w:jc w:val="center"/>
        <w:rPr>
          <w:rFonts w:ascii="Arial" w:hAnsi="Arial" w:cs="Arial"/>
          <w:b/>
          <w:color w:val="000000"/>
          <w:sz w:val="24"/>
          <w:szCs w:val="28"/>
        </w:rPr>
      </w:pPr>
      <w:r>
        <w:rPr>
          <w:rFonts w:ascii="Arial" w:hAnsi="Arial" w:cs="Arial"/>
          <w:b/>
          <w:color w:val="000000"/>
          <w:sz w:val="24"/>
          <w:szCs w:val="28"/>
          <w:lang w:val="en-US"/>
        </w:rPr>
        <w:t xml:space="preserve">Alokasi Belanja </w:t>
      </w:r>
      <w:r w:rsidR="00216D38">
        <w:rPr>
          <w:rFonts w:ascii="Arial" w:hAnsi="Arial" w:cs="Arial"/>
          <w:b/>
          <w:color w:val="000000"/>
          <w:sz w:val="24"/>
          <w:szCs w:val="28"/>
          <w:lang w:val="en-US"/>
        </w:rPr>
        <w:t>untuk Ketahanan</w:t>
      </w:r>
      <w:r>
        <w:rPr>
          <w:rFonts w:ascii="Arial" w:hAnsi="Arial" w:cs="Arial"/>
          <w:b/>
          <w:color w:val="000000"/>
          <w:sz w:val="24"/>
          <w:szCs w:val="28"/>
          <w:lang w:val="en-US"/>
        </w:rPr>
        <w:t xml:space="preserve"> Pangan </w:t>
      </w:r>
      <w:r w:rsidR="00216D38">
        <w:rPr>
          <w:rFonts w:ascii="Arial" w:hAnsi="Arial" w:cs="Arial"/>
          <w:b/>
          <w:color w:val="000000"/>
          <w:sz w:val="24"/>
          <w:szCs w:val="28"/>
          <w:lang w:val="en-US"/>
        </w:rPr>
        <w:t>Rumahtang</w:t>
      </w:r>
      <w:r>
        <w:rPr>
          <w:rFonts w:ascii="Arial" w:hAnsi="Arial" w:cs="Arial"/>
          <w:b/>
          <w:color w:val="000000"/>
          <w:sz w:val="24"/>
          <w:szCs w:val="28"/>
          <w:lang w:val="en-US"/>
        </w:rPr>
        <w:t>ga Petani “Waduk Pacal”</w:t>
      </w:r>
      <w:r w:rsidR="00D83A42">
        <w:rPr>
          <w:rFonts w:ascii="Arial" w:hAnsi="Arial" w:cs="Arial"/>
          <w:b/>
          <w:color w:val="000000"/>
          <w:sz w:val="24"/>
          <w:szCs w:val="28"/>
          <w:lang w:val="en-US"/>
        </w:rPr>
        <w:t>,</w:t>
      </w:r>
      <w:r>
        <w:rPr>
          <w:rFonts w:ascii="Arial" w:hAnsi="Arial" w:cs="Arial"/>
          <w:b/>
          <w:color w:val="000000"/>
          <w:sz w:val="24"/>
          <w:szCs w:val="28"/>
          <w:lang w:val="en-US"/>
        </w:rPr>
        <w:t xml:space="preserve"> Bojonegoro</w:t>
      </w:r>
    </w:p>
    <w:p w:rsidR="00863192" w:rsidRPr="003F42E7" w:rsidRDefault="003F42E7" w:rsidP="00627B16">
      <w:pPr>
        <w:spacing w:after="0" w:line="240" w:lineRule="auto"/>
        <w:jc w:val="center"/>
        <w:rPr>
          <w:rFonts w:ascii="Arial" w:hAnsi="Arial" w:cs="Arial"/>
          <w:color w:val="000000"/>
          <w:szCs w:val="28"/>
          <w:vertAlign w:val="superscript"/>
          <w:lang w:val="en-US"/>
        </w:rPr>
      </w:pPr>
      <w:r>
        <w:rPr>
          <w:rFonts w:ascii="Arial" w:hAnsi="Arial" w:cs="Arial"/>
          <w:color w:val="000000"/>
          <w:szCs w:val="28"/>
          <w:lang w:val="en-US"/>
        </w:rPr>
        <w:t>Rahayu Relawati</w:t>
      </w:r>
      <w:r w:rsidR="00393294">
        <w:rPr>
          <w:rFonts w:ascii="Arial" w:hAnsi="Arial" w:cs="Arial"/>
          <w:color w:val="000000"/>
          <w:szCs w:val="28"/>
          <w:lang w:val="en-US"/>
        </w:rPr>
        <w:t>*</w:t>
      </w:r>
      <w:r>
        <w:rPr>
          <w:rFonts w:ascii="Arial" w:hAnsi="Arial" w:cs="Arial"/>
          <w:color w:val="000000"/>
          <w:szCs w:val="28"/>
          <w:lang w:val="en-US"/>
        </w:rPr>
        <w:t>, Bambang Yudi Ariadi</w:t>
      </w:r>
    </w:p>
    <w:p w:rsidR="00863192" w:rsidRDefault="003F42E7" w:rsidP="00D83A42">
      <w:pPr>
        <w:spacing w:after="0" w:line="240" w:lineRule="auto"/>
        <w:jc w:val="center"/>
        <w:rPr>
          <w:rFonts w:ascii="Arial" w:hAnsi="Arial" w:cs="Arial"/>
          <w:lang w:val="en-US"/>
        </w:rPr>
      </w:pPr>
      <w:r>
        <w:rPr>
          <w:rFonts w:ascii="Arial" w:hAnsi="Arial" w:cs="Arial"/>
          <w:lang w:val="en-US"/>
        </w:rPr>
        <w:t>Prodi Agribisnis, Fakultas Pertanian dan Peternakan, Universitas Muhammadiyah Malang</w:t>
      </w:r>
      <w:r w:rsidR="00393294">
        <w:rPr>
          <w:rFonts w:ascii="Arial" w:hAnsi="Arial" w:cs="Arial"/>
          <w:lang w:val="en-US"/>
        </w:rPr>
        <w:t>, Jalan Raya Tlogomas 246 Malang</w:t>
      </w:r>
    </w:p>
    <w:p w:rsidR="00393294" w:rsidRDefault="00393294" w:rsidP="00D83A42">
      <w:pPr>
        <w:spacing w:line="240" w:lineRule="auto"/>
        <w:jc w:val="center"/>
        <w:rPr>
          <w:rFonts w:ascii="Arial" w:hAnsi="Arial" w:cs="Arial"/>
          <w:lang w:val="en-US"/>
        </w:rPr>
      </w:pPr>
      <w:r>
        <w:rPr>
          <w:rFonts w:ascii="Arial" w:hAnsi="Arial" w:cs="Arial"/>
          <w:lang w:val="en-US"/>
        </w:rPr>
        <w:t>*email korespondensi: rahayurelawati@umm.ac.id</w:t>
      </w:r>
    </w:p>
    <w:p w:rsidR="00863192" w:rsidRDefault="00863192" w:rsidP="00863192">
      <w:pPr>
        <w:spacing w:after="0" w:line="240" w:lineRule="auto"/>
        <w:jc w:val="both"/>
        <w:rPr>
          <w:rFonts w:ascii="Arial" w:hAnsi="Arial" w:cs="Arial"/>
          <w:b/>
        </w:rPr>
      </w:pPr>
      <w:r>
        <w:rPr>
          <w:rFonts w:ascii="Arial" w:hAnsi="Arial" w:cs="Arial"/>
          <w:b/>
        </w:rPr>
        <w:t>ABSTRAK</w:t>
      </w:r>
    </w:p>
    <w:p w:rsidR="00EA6346" w:rsidRPr="008E65D4" w:rsidRDefault="00EA6346" w:rsidP="00BC25D2">
      <w:pPr>
        <w:spacing w:line="240" w:lineRule="auto"/>
        <w:jc w:val="both"/>
        <w:rPr>
          <w:rFonts w:ascii="Arial" w:hAnsi="Arial" w:cs="Arial"/>
          <w:color w:val="000000"/>
          <w:lang w:val="en-US"/>
        </w:rPr>
      </w:pPr>
      <w:r w:rsidRPr="00EA6346">
        <w:rPr>
          <w:rFonts w:ascii="Arial" w:hAnsi="Arial" w:cs="Arial"/>
          <w:i/>
          <w:lang w:val="sv-SE"/>
        </w:rPr>
        <w:t>Petani di sekitar ”Waduk Pacal” me</w:t>
      </w:r>
      <w:r>
        <w:rPr>
          <w:rFonts w:ascii="Arial" w:hAnsi="Arial" w:cs="Arial"/>
          <w:i/>
          <w:lang w:val="sv-SE"/>
        </w:rPr>
        <w:t>manfaat</w:t>
      </w:r>
      <w:r w:rsidRPr="00EA6346">
        <w:rPr>
          <w:rFonts w:ascii="Arial" w:hAnsi="Arial" w:cs="Arial"/>
          <w:i/>
          <w:lang w:val="sv-SE"/>
        </w:rPr>
        <w:t>kan lahan waduk saat air surut sebagai tempat berusahatani, sehingga waktu budidaya terbatas. Tujuan penelitian untuk menganalisis pendapatan petani, alokasi belanja konsumsi pangan; dan faktor-faktor yang mempengaruhi pemenuhan konsumsi pangan.</w:t>
      </w:r>
      <w:r w:rsidRPr="00EA6346">
        <w:rPr>
          <w:rFonts w:ascii="Arial" w:hAnsi="Arial" w:cs="Arial"/>
          <w:lang w:val="en-US"/>
        </w:rPr>
        <w:t xml:space="preserve"> </w:t>
      </w:r>
      <w:r w:rsidRPr="00EA6346">
        <w:rPr>
          <w:rFonts w:ascii="Arial" w:hAnsi="Arial" w:cs="Arial"/>
          <w:i/>
          <w:lang w:val="sv-SE"/>
        </w:rPr>
        <w:t xml:space="preserve">Data primer diperoleh dari 100  petani sampel di sekitar ”Waduk Pacal”, dianalisis secara deskriptif dan PLS-SEM.  Hasil penelitian menunjukkan bahwa pendapatan petani berkisar Rp </w:t>
      </w:r>
      <w:r w:rsidRPr="00EA6346">
        <w:rPr>
          <w:rFonts w:ascii="Arial" w:eastAsia="Times New Roman" w:hAnsi="Arial" w:cs="Arial"/>
          <w:i/>
          <w:sz w:val="20"/>
          <w:szCs w:val="20"/>
        </w:rPr>
        <w:t>2</w:t>
      </w:r>
      <w:r w:rsidRPr="00EA6346">
        <w:rPr>
          <w:rFonts w:ascii="Arial" w:eastAsia="Times New Roman" w:hAnsi="Arial" w:cs="Arial"/>
          <w:i/>
          <w:sz w:val="20"/>
          <w:szCs w:val="20"/>
          <w:lang w:val="en-US"/>
        </w:rPr>
        <w:t>50</w:t>
      </w:r>
      <w:r w:rsidRPr="00EA6346">
        <w:rPr>
          <w:rFonts w:ascii="Arial" w:eastAsia="Times New Roman" w:hAnsi="Arial" w:cs="Arial"/>
          <w:i/>
          <w:sz w:val="20"/>
          <w:szCs w:val="20"/>
        </w:rPr>
        <w:t>.</w:t>
      </w:r>
      <w:r w:rsidRPr="00EA6346">
        <w:rPr>
          <w:rFonts w:ascii="Arial" w:eastAsia="Times New Roman" w:hAnsi="Arial" w:cs="Arial"/>
          <w:i/>
          <w:sz w:val="20"/>
          <w:szCs w:val="20"/>
          <w:lang w:val="en-US"/>
        </w:rPr>
        <w:t>0</w:t>
      </w:r>
      <w:r w:rsidRPr="00EA6346">
        <w:rPr>
          <w:rFonts w:ascii="Arial" w:eastAsia="Times New Roman" w:hAnsi="Arial" w:cs="Arial"/>
          <w:i/>
          <w:sz w:val="20"/>
          <w:szCs w:val="20"/>
        </w:rPr>
        <w:t xml:space="preserve">00 – </w:t>
      </w:r>
      <w:r w:rsidRPr="00EA6346">
        <w:rPr>
          <w:rFonts w:ascii="Arial" w:eastAsia="Times New Roman" w:hAnsi="Arial" w:cs="Arial"/>
          <w:i/>
          <w:sz w:val="20"/>
          <w:szCs w:val="20"/>
          <w:lang w:val="en-US"/>
        </w:rPr>
        <w:t>Rp 5</w:t>
      </w:r>
      <w:r w:rsidRPr="00EA6346">
        <w:rPr>
          <w:rFonts w:ascii="Arial" w:eastAsia="Times New Roman" w:hAnsi="Arial" w:cs="Arial"/>
          <w:i/>
          <w:sz w:val="20"/>
          <w:szCs w:val="20"/>
        </w:rPr>
        <w:t>.</w:t>
      </w:r>
      <w:r w:rsidRPr="00EA6346">
        <w:rPr>
          <w:rFonts w:ascii="Arial" w:eastAsia="Times New Roman" w:hAnsi="Arial" w:cs="Arial"/>
          <w:i/>
          <w:sz w:val="20"/>
          <w:szCs w:val="20"/>
          <w:lang w:val="en-US"/>
        </w:rPr>
        <w:t>0</w:t>
      </w:r>
      <w:r w:rsidRPr="00EA6346">
        <w:rPr>
          <w:rFonts w:ascii="Arial" w:eastAsia="Times New Roman" w:hAnsi="Arial" w:cs="Arial"/>
          <w:i/>
          <w:sz w:val="20"/>
          <w:szCs w:val="20"/>
        </w:rPr>
        <w:t>00.000</w:t>
      </w:r>
      <w:r w:rsidRPr="00EA6346">
        <w:rPr>
          <w:rFonts w:ascii="Arial" w:hAnsi="Arial" w:cs="Arial"/>
          <w:i/>
          <w:lang w:val="sv-SE"/>
        </w:rPr>
        <w:t xml:space="preserve"> per bulan. Keluarga petani yang hanya bertanam di waduk mempunyai pendapatan sangat rendah, </w:t>
      </w:r>
      <w:r>
        <w:rPr>
          <w:rFonts w:ascii="Arial" w:hAnsi="Arial" w:cs="Arial"/>
          <w:i/>
          <w:lang w:val="sv-SE"/>
        </w:rPr>
        <w:t>sebagian</w:t>
      </w:r>
      <w:r w:rsidRPr="00EA6346">
        <w:rPr>
          <w:rFonts w:ascii="Arial" w:hAnsi="Arial" w:cs="Arial"/>
          <w:i/>
          <w:lang w:val="sv-SE"/>
        </w:rPr>
        <w:t xml:space="preserve"> </w:t>
      </w:r>
      <w:r>
        <w:rPr>
          <w:rFonts w:ascii="Arial" w:hAnsi="Arial" w:cs="Arial"/>
          <w:i/>
          <w:lang w:val="sv-SE"/>
        </w:rPr>
        <w:t>menambah pendapatan dengan</w:t>
      </w:r>
      <w:r w:rsidRPr="00EA6346">
        <w:rPr>
          <w:rFonts w:ascii="Arial" w:hAnsi="Arial" w:cs="Arial"/>
          <w:i/>
          <w:lang w:val="sv-SE"/>
        </w:rPr>
        <w:t xml:space="preserve"> bekerja sebagai buruh tani atau pekerjaan non-pertanian. Alokasi belanja pangan paling besar untuk membeli beras (26,2%) dan sumber protein hewani (16,3%). </w:t>
      </w:r>
      <w:r w:rsidR="005A151C">
        <w:rPr>
          <w:rFonts w:ascii="Arial" w:hAnsi="Arial" w:cs="Arial"/>
          <w:i/>
          <w:lang w:val="sv-SE"/>
        </w:rPr>
        <w:t>S</w:t>
      </w:r>
      <w:r w:rsidRPr="00EA6346">
        <w:rPr>
          <w:rFonts w:ascii="Arial" w:hAnsi="Arial" w:cs="Arial"/>
          <w:i/>
          <w:lang w:val="sv-SE"/>
        </w:rPr>
        <w:t xml:space="preserve">ecara umum konsumsi pangan masih dominan karbohidrat (beras). Konsumsi pangan rumahtangga petani dipengaruhi </w:t>
      </w:r>
      <w:r>
        <w:rPr>
          <w:rFonts w:ascii="Arial" w:hAnsi="Arial" w:cs="Arial"/>
          <w:i/>
          <w:lang w:val="sv-SE"/>
        </w:rPr>
        <w:t xml:space="preserve">oleh </w:t>
      </w:r>
      <w:r w:rsidRPr="00EA6346">
        <w:rPr>
          <w:rFonts w:ascii="Arial" w:hAnsi="Arial" w:cs="Arial"/>
          <w:i/>
          <w:lang w:val="sv-SE"/>
        </w:rPr>
        <w:t xml:space="preserve">usahatani, alokasi belanja pangan, dan diperkuat oleh jumlah anggota keluarga. Hasil penelitian merekomendasi pentingnya membuka lapangan kerja pedesaan </w:t>
      </w:r>
      <w:r w:rsidR="005A151C">
        <w:rPr>
          <w:rFonts w:ascii="Arial" w:hAnsi="Arial" w:cs="Arial"/>
          <w:i/>
          <w:lang w:val="sv-SE"/>
        </w:rPr>
        <w:t>sebagai</w:t>
      </w:r>
      <w:r w:rsidRPr="00EA6346">
        <w:rPr>
          <w:rFonts w:ascii="Arial" w:hAnsi="Arial" w:cs="Arial"/>
          <w:i/>
          <w:lang w:val="sv-SE"/>
        </w:rPr>
        <w:t xml:space="preserve"> sumber pendapatan yang layak</w:t>
      </w:r>
      <w:r w:rsidRPr="001B65B7">
        <w:rPr>
          <w:rFonts w:ascii="Arial" w:hAnsi="Arial" w:cs="Arial"/>
          <w:i/>
          <w:lang w:val="sv-SE"/>
        </w:rPr>
        <w:t xml:space="preserve"> bagi petani untuk meningkatkan ketahanan pangan rumahtangga mereka.</w:t>
      </w:r>
    </w:p>
    <w:p w:rsidR="00863192" w:rsidRPr="00627B16" w:rsidRDefault="00863192" w:rsidP="00863192">
      <w:pPr>
        <w:spacing w:after="240" w:line="240" w:lineRule="auto"/>
        <w:rPr>
          <w:rFonts w:ascii="Arial" w:hAnsi="Arial" w:cs="Arial"/>
          <w:i/>
          <w:color w:val="000000"/>
          <w:lang w:val="sv-SE"/>
        </w:rPr>
      </w:pPr>
      <w:r w:rsidRPr="00627B16">
        <w:rPr>
          <w:rFonts w:ascii="Arial" w:hAnsi="Arial" w:cs="Arial"/>
          <w:i/>
          <w:color w:val="000000"/>
          <w:lang w:val="sv-SE"/>
        </w:rPr>
        <w:t>Kata kunci:</w:t>
      </w:r>
      <w:r w:rsidRPr="00627B16">
        <w:rPr>
          <w:rFonts w:ascii="Arial" w:hAnsi="Arial" w:cs="Arial"/>
          <w:b/>
          <w:i/>
          <w:color w:val="000000"/>
          <w:lang w:val="sv-SE"/>
        </w:rPr>
        <w:t xml:space="preserve"> </w:t>
      </w:r>
      <w:r w:rsidR="009C624B" w:rsidRPr="009C624B">
        <w:rPr>
          <w:rFonts w:ascii="Arial" w:hAnsi="Arial" w:cs="Arial"/>
          <w:i/>
          <w:color w:val="000000"/>
          <w:lang w:val="sv-SE"/>
        </w:rPr>
        <w:t>alokasi belanja</w:t>
      </w:r>
      <w:r w:rsidR="003A4C94">
        <w:rPr>
          <w:rFonts w:ascii="Arial" w:hAnsi="Arial" w:cs="Arial"/>
          <w:i/>
          <w:color w:val="000000"/>
          <w:lang w:val="sv-SE"/>
        </w:rPr>
        <w:t>,</w:t>
      </w:r>
      <w:r w:rsidR="009C624B">
        <w:rPr>
          <w:rFonts w:ascii="Arial" w:hAnsi="Arial" w:cs="Arial"/>
          <w:i/>
          <w:color w:val="000000"/>
          <w:lang w:val="sv-SE"/>
        </w:rPr>
        <w:t xml:space="preserve"> </w:t>
      </w:r>
      <w:r w:rsidR="009F63D2">
        <w:rPr>
          <w:rFonts w:ascii="Arial" w:hAnsi="Arial" w:cs="Arial"/>
          <w:i/>
          <w:color w:val="000000"/>
          <w:lang w:val="sv-SE"/>
        </w:rPr>
        <w:t>k</w:t>
      </w:r>
      <w:r w:rsidR="007A03D1">
        <w:rPr>
          <w:rFonts w:ascii="Arial" w:hAnsi="Arial" w:cs="Arial"/>
          <w:i/>
          <w:color w:val="000000"/>
          <w:lang w:val="sv-SE"/>
        </w:rPr>
        <w:t>onsumsi</w:t>
      </w:r>
      <w:r w:rsidR="009F63D2">
        <w:rPr>
          <w:rFonts w:ascii="Arial" w:hAnsi="Arial" w:cs="Arial"/>
          <w:i/>
          <w:color w:val="000000"/>
          <w:lang w:val="sv-SE"/>
        </w:rPr>
        <w:t xml:space="preserve"> pangan, </w:t>
      </w:r>
      <w:r w:rsidR="003A4C94">
        <w:rPr>
          <w:rFonts w:ascii="Arial" w:hAnsi="Arial" w:cs="Arial"/>
          <w:i/>
          <w:color w:val="000000"/>
          <w:lang w:val="sv-SE"/>
        </w:rPr>
        <w:t>pendapatan petani,</w:t>
      </w:r>
      <w:r w:rsidR="004A20CB">
        <w:rPr>
          <w:rFonts w:ascii="Arial" w:hAnsi="Arial" w:cs="Arial"/>
          <w:i/>
          <w:color w:val="000000"/>
          <w:lang w:val="sv-SE"/>
        </w:rPr>
        <w:t xml:space="preserve"> </w:t>
      </w:r>
      <w:r w:rsidR="00271992">
        <w:rPr>
          <w:rFonts w:ascii="Arial" w:hAnsi="Arial" w:cs="Arial"/>
          <w:i/>
          <w:color w:val="000000"/>
          <w:lang w:val="sv-SE"/>
        </w:rPr>
        <w:t>”</w:t>
      </w:r>
      <w:r w:rsidR="009C624B">
        <w:rPr>
          <w:rFonts w:ascii="Arial" w:hAnsi="Arial" w:cs="Arial"/>
          <w:i/>
          <w:color w:val="000000"/>
          <w:lang w:val="sv-SE"/>
        </w:rPr>
        <w:t>Waduk Pacal</w:t>
      </w:r>
      <w:r w:rsidR="00271992">
        <w:rPr>
          <w:rFonts w:ascii="Arial" w:hAnsi="Arial" w:cs="Arial"/>
          <w:i/>
          <w:color w:val="000000"/>
          <w:lang w:val="sv-SE"/>
        </w:rPr>
        <w:t>”</w:t>
      </w:r>
      <w:r w:rsidR="009F63D2">
        <w:rPr>
          <w:rFonts w:ascii="Arial" w:hAnsi="Arial" w:cs="Arial"/>
          <w:i/>
          <w:color w:val="000000"/>
          <w:lang w:val="sv-SE"/>
        </w:rPr>
        <w:t>.</w:t>
      </w:r>
    </w:p>
    <w:p w:rsidR="00D83A42" w:rsidRDefault="007A03D1" w:rsidP="00D83A42">
      <w:pPr>
        <w:spacing w:after="0" w:line="240" w:lineRule="auto"/>
        <w:jc w:val="center"/>
        <w:rPr>
          <w:rFonts w:ascii="Arial" w:hAnsi="Arial" w:cs="Arial"/>
          <w:b/>
          <w:color w:val="000000"/>
          <w:sz w:val="24"/>
          <w:szCs w:val="24"/>
          <w:lang w:val="en-US"/>
        </w:rPr>
      </w:pPr>
      <w:r w:rsidRPr="00271992">
        <w:rPr>
          <w:rFonts w:ascii="Arial" w:hAnsi="Arial" w:cs="Arial"/>
          <w:b/>
          <w:color w:val="000000"/>
          <w:sz w:val="24"/>
          <w:szCs w:val="24"/>
        </w:rPr>
        <w:t xml:space="preserve">Spending Allocation for </w:t>
      </w:r>
      <w:r w:rsidR="00271992" w:rsidRPr="00271992">
        <w:rPr>
          <w:rFonts w:ascii="Arial" w:hAnsi="Arial" w:cs="Arial"/>
          <w:b/>
          <w:color w:val="000000"/>
          <w:sz w:val="24"/>
          <w:szCs w:val="24"/>
          <w:lang w:val="en-US"/>
        </w:rPr>
        <w:t xml:space="preserve">Household’s </w:t>
      </w:r>
      <w:r w:rsidRPr="00271992">
        <w:rPr>
          <w:rFonts w:ascii="Arial" w:hAnsi="Arial" w:cs="Arial"/>
          <w:b/>
          <w:color w:val="000000"/>
          <w:sz w:val="24"/>
          <w:szCs w:val="24"/>
        </w:rPr>
        <w:t xml:space="preserve">Food Security of </w:t>
      </w:r>
    </w:p>
    <w:p w:rsidR="00863192" w:rsidRPr="00B363E3" w:rsidRDefault="007A03D1" w:rsidP="00863192">
      <w:pPr>
        <w:spacing w:after="240" w:line="240" w:lineRule="auto"/>
        <w:jc w:val="center"/>
        <w:rPr>
          <w:rFonts w:ascii="Arial" w:hAnsi="Arial" w:cs="Arial"/>
          <w:b/>
          <w:i/>
          <w:color w:val="000000"/>
          <w:sz w:val="24"/>
          <w:szCs w:val="24"/>
          <w:lang w:val="en-US"/>
        </w:rPr>
      </w:pPr>
      <w:r w:rsidRPr="00B363E3">
        <w:rPr>
          <w:rFonts w:ascii="Arial" w:hAnsi="Arial" w:cs="Arial"/>
          <w:b/>
          <w:color w:val="000000"/>
          <w:sz w:val="24"/>
          <w:szCs w:val="24"/>
        </w:rPr>
        <w:t>"</w:t>
      </w:r>
      <w:r w:rsidRPr="00B363E3">
        <w:rPr>
          <w:rFonts w:ascii="Arial" w:hAnsi="Arial" w:cs="Arial"/>
          <w:b/>
          <w:color w:val="000000"/>
          <w:sz w:val="24"/>
          <w:szCs w:val="24"/>
          <w:lang w:val="en-US"/>
        </w:rPr>
        <w:t xml:space="preserve">Waduk </w:t>
      </w:r>
      <w:r w:rsidRPr="00B363E3">
        <w:rPr>
          <w:rFonts w:ascii="Arial" w:hAnsi="Arial" w:cs="Arial"/>
          <w:b/>
          <w:color w:val="000000"/>
          <w:sz w:val="24"/>
          <w:szCs w:val="24"/>
        </w:rPr>
        <w:t>Pacal"</w:t>
      </w:r>
      <w:r w:rsidR="00271992" w:rsidRPr="00B363E3">
        <w:rPr>
          <w:rFonts w:ascii="Arial" w:hAnsi="Arial" w:cs="Arial"/>
          <w:b/>
          <w:color w:val="000000"/>
          <w:sz w:val="24"/>
          <w:szCs w:val="24"/>
          <w:lang w:val="en-US"/>
        </w:rPr>
        <w:t xml:space="preserve"> Farmers</w:t>
      </w:r>
      <w:r w:rsidR="00D83A42" w:rsidRPr="00B363E3">
        <w:rPr>
          <w:rFonts w:ascii="Arial" w:hAnsi="Arial" w:cs="Arial"/>
          <w:b/>
          <w:color w:val="000000"/>
          <w:sz w:val="24"/>
          <w:szCs w:val="24"/>
          <w:lang w:val="en-US"/>
        </w:rPr>
        <w:t>,</w:t>
      </w:r>
      <w:r w:rsidRPr="00B363E3">
        <w:rPr>
          <w:rFonts w:ascii="Arial" w:hAnsi="Arial" w:cs="Arial"/>
          <w:b/>
          <w:color w:val="000000"/>
          <w:sz w:val="24"/>
          <w:szCs w:val="24"/>
        </w:rPr>
        <w:t xml:space="preserve"> Bojonegoro</w:t>
      </w:r>
    </w:p>
    <w:p w:rsidR="00863192" w:rsidRDefault="00863192" w:rsidP="00863192">
      <w:pPr>
        <w:tabs>
          <w:tab w:val="left" w:pos="990"/>
        </w:tabs>
        <w:spacing w:after="0" w:line="240" w:lineRule="auto"/>
        <w:rPr>
          <w:rFonts w:ascii="Arial" w:hAnsi="Arial" w:cs="Arial"/>
          <w:b/>
        </w:rPr>
      </w:pPr>
      <w:r>
        <w:rPr>
          <w:rFonts w:ascii="Arial" w:hAnsi="Arial" w:cs="Arial"/>
          <w:b/>
        </w:rPr>
        <w:t>ABSTRACT</w:t>
      </w:r>
    </w:p>
    <w:p w:rsidR="00BC25D2" w:rsidRPr="00BC25D2" w:rsidRDefault="00BC25D2" w:rsidP="00BC25D2">
      <w:pPr>
        <w:spacing w:line="240" w:lineRule="auto"/>
        <w:jc w:val="both"/>
        <w:rPr>
          <w:rFonts w:ascii="Arial" w:hAnsi="Arial" w:cs="Arial"/>
          <w:i/>
          <w:color w:val="000000"/>
          <w:lang w:val="en-US"/>
        </w:rPr>
      </w:pPr>
      <w:r>
        <w:rPr>
          <w:rFonts w:ascii="Arial" w:hAnsi="Arial" w:cs="Arial"/>
          <w:i/>
          <w:color w:val="000000"/>
        </w:rPr>
        <w:t>Farmers around the "Pacal Reservoir" use the reservoir land at low tide as a farm</w:t>
      </w:r>
      <w:r>
        <w:rPr>
          <w:rFonts w:ascii="Arial" w:hAnsi="Arial" w:cs="Arial"/>
          <w:i/>
          <w:color w:val="000000"/>
          <w:lang w:val="en-US"/>
        </w:rPr>
        <w:t xml:space="preserve"> land</w:t>
      </w:r>
      <w:r>
        <w:rPr>
          <w:rFonts w:ascii="Arial" w:hAnsi="Arial" w:cs="Arial"/>
          <w:i/>
          <w:color w:val="000000"/>
        </w:rPr>
        <w:t xml:space="preserve">, so the cultivation time is limited. </w:t>
      </w:r>
      <w:r>
        <w:rPr>
          <w:rFonts w:ascii="Arial" w:hAnsi="Arial" w:cs="Arial"/>
          <w:i/>
          <w:color w:val="000000"/>
          <w:lang w:val="en-US"/>
        </w:rPr>
        <w:t>The r</w:t>
      </w:r>
      <w:r>
        <w:rPr>
          <w:rFonts w:ascii="Arial" w:hAnsi="Arial" w:cs="Arial"/>
          <w:i/>
          <w:color w:val="000000"/>
        </w:rPr>
        <w:t xml:space="preserve">esearch </w:t>
      </w:r>
      <w:r>
        <w:rPr>
          <w:rFonts w:ascii="Arial" w:hAnsi="Arial" w:cs="Arial"/>
          <w:i/>
          <w:color w:val="000000"/>
          <w:lang w:val="en-US"/>
        </w:rPr>
        <w:t>aimed</w:t>
      </w:r>
      <w:r>
        <w:rPr>
          <w:rFonts w:ascii="Arial" w:hAnsi="Arial" w:cs="Arial"/>
          <w:i/>
          <w:color w:val="000000"/>
        </w:rPr>
        <w:t xml:space="preserve"> to analyze farmers' income, </w:t>
      </w:r>
      <w:r>
        <w:rPr>
          <w:rFonts w:ascii="Arial" w:hAnsi="Arial" w:cs="Arial"/>
          <w:i/>
          <w:color w:val="000000"/>
          <w:lang w:val="en-US"/>
        </w:rPr>
        <w:t xml:space="preserve">spending </w:t>
      </w:r>
      <w:r>
        <w:rPr>
          <w:rFonts w:ascii="Arial" w:hAnsi="Arial" w:cs="Arial"/>
          <w:i/>
          <w:color w:val="000000"/>
        </w:rPr>
        <w:t>allocation of food consumption; and factors affect</w:t>
      </w:r>
      <w:r>
        <w:rPr>
          <w:rFonts w:ascii="Arial" w:hAnsi="Arial" w:cs="Arial"/>
          <w:i/>
          <w:color w:val="000000"/>
          <w:lang w:val="en-US"/>
        </w:rPr>
        <w:t>ing</w:t>
      </w:r>
      <w:r>
        <w:rPr>
          <w:rFonts w:ascii="Arial" w:hAnsi="Arial" w:cs="Arial"/>
          <w:i/>
          <w:color w:val="000000"/>
        </w:rPr>
        <w:t xml:space="preserve"> the fulfillment of food consumption. Primary data was obtained from 100 farmer samples around the "Pacal Reservoir", analyzed descriptively and </w:t>
      </w:r>
      <w:r>
        <w:rPr>
          <w:rFonts w:ascii="Arial" w:hAnsi="Arial" w:cs="Arial"/>
          <w:i/>
          <w:color w:val="000000"/>
          <w:lang w:val="en-US"/>
        </w:rPr>
        <w:t xml:space="preserve">by </w:t>
      </w:r>
      <w:r>
        <w:rPr>
          <w:rFonts w:ascii="Arial" w:hAnsi="Arial" w:cs="Arial"/>
          <w:i/>
          <w:color w:val="000000"/>
        </w:rPr>
        <w:t>PLS-SEM.  The results show that farmers' income ranges from Rp 250,000 - Rp 5,000,000 per month. Farming families who only</w:t>
      </w:r>
      <w:r>
        <w:rPr>
          <w:rFonts w:ascii="Arial" w:hAnsi="Arial" w:cs="Arial"/>
          <w:i/>
          <w:color w:val="000000"/>
          <w:lang w:val="en-US"/>
        </w:rPr>
        <w:t xml:space="preserve"> grow crops</w:t>
      </w:r>
      <w:r>
        <w:rPr>
          <w:rFonts w:ascii="Arial" w:hAnsi="Arial" w:cs="Arial"/>
          <w:i/>
          <w:color w:val="000000"/>
        </w:rPr>
        <w:t xml:space="preserve"> on </w:t>
      </w:r>
      <w:r>
        <w:rPr>
          <w:rFonts w:ascii="Arial" w:hAnsi="Arial" w:cs="Arial"/>
          <w:i/>
          <w:color w:val="000000"/>
          <w:lang w:val="en-US"/>
        </w:rPr>
        <w:t xml:space="preserve">the dry </w:t>
      </w:r>
      <w:r>
        <w:rPr>
          <w:rFonts w:ascii="Arial" w:hAnsi="Arial" w:cs="Arial"/>
          <w:i/>
          <w:color w:val="000000"/>
        </w:rPr>
        <w:t xml:space="preserve">reservoir have </w:t>
      </w:r>
      <w:r>
        <w:rPr>
          <w:rFonts w:ascii="Arial" w:hAnsi="Arial" w:cs="Arial"/>
          <w:i/>
          <w:color w:val="000000"/>
          <w:lang w:val="en-US"/>
        </w:rPr>
        <w:t xml:space="preserve">a </w:t>
      </w:r>
      <w:r>
        <w:rPr>
          <w:rFonts w:ascii="Arial" w:hAnsi="Arial" w:cs="Arial"/>
          <w:i/>
          <w:color w:val="000000"/>
        </w:rPr>
        <w:t xml:space="preserve">very low income, some of them </w:t>
      </w:r>
      <w:r>
        <w:rPr>
          <w:rFonts w:ascii="Arial" w:hAnsi="Arial" w:cs="Arial"/>
          <w:i/>
          <w:color w:val="000000"/>
          <w:lang w:val="en-US"/>
        </w:rPr>
        <w:t xml:space="preserve">earn extra </w:t>
      </w:r>
      <w:r>
        <w:rPr>
          <w:rFonts w:ascii="Arial" w:hAnsi="Arial" w:cs="Arial"/>
          <w:i/>
          <w:color w:val="000000"/>
        </w:rPr>
        <w:t>income by working as far</w:t>
      </w:r>
      <w:r w:rsidR="009B25A7">
        <w:rPr>
          <w:rFonts w:ascii="Arial" w:hAnsi="Arial" w:cs="Arial"/>
          <w:i/>
          <w:color w:val="000000"/>
        </w:rPr>
        <w:t>m</w:t>
      </w:r>
      <w:r w:rsidR="001C790C">
        <w:rPr>
          <w:rFonts w:ascii="Arial" w:hAnsi="Arial" w:cs="Arial"/>
          <w:i/>
          <w:color w:val="000000"/>
          <w:lang w:val="en-US"/>
        </w:rPr>
        <w:t xml:space="preserve"> labor</w:t>
      </w:r>
      <w:r w:rsidR="009B25A7">
        <w:rPr>
          <w:rFonts w:ascii="Arial" w:hAnsi="Arial" w:cs="Arial"/>
          <w:i/>
          <w:color w:val="000000"/>
        </w:rPr>
        <w:t xml:space="preserve">s or non-farm </w:t>
      </w:r>
      <w:r w:rsidR="001C790C">
        <w:rPr>
          <w:rFonts w:ascii="Arial" w:hAnsi="Arial" w:cs="Arial"/>
          <w:i/>
          <w:color w:val="000000"/>
          <w:lang w:val="en-US"/>
        </w:rPr>
        <w:t>work</w:t>
      </w:r>
      <w:r w:rsidR="009B25A7">
        <w:rPr>
          <w:rFonts w:ascii="Arial" w:hAnsi="Arial" w:cs="Arial"/>
          <w:i/>
          <w:color w:val="000000"/>
        </w:rPr>
        <w:t xml:space="preserve">s. The </w:t>
      </w:r>
      <w:r w:rsidR="009B25A7">
        <w:rPr>
          <w:rFonts w:ascii="Arial" w:hAnsi="Arial" w:cs="Arial"/>
          <w:i/>
          <w:color w:val="000000"/>
          <w:lang w:val="en-US"/>
        </w:rPr>
        <w:t>most</w:t>
      </w:r>
      <w:r>
        <w:rPr>
          <w:rFonts w:ascii="Arial" w:hAnsi="Arial" w:cs="Arial"/>
          <w:i/>
          <w:color w:val="000000"/>
        </w:rPr>
        <w:t xml:space="preserve"> allocation of food expenditure</w:t>
      </w:r>
      <w:r w:rsidR="009B25A7">
        <w:rPr>
          <w:rFonts w:ascii="Arial" w:hAnsi="Arial" w:cs="Arial"/>
          <w:i/>
          <w:color w:val="000000"/>
          <w:lang w:val="en-US"/>
        </w:rPr>
        <w:t>s</w:t>
      </w:r>
      <w:r>
        <w:rPr>
          <w:rFonts w:ascii="Arial" w:hAnsi="Arial" w:cs="Arial"/>
          <w:i/>
          <w:color w:val="000000"/>
        </w:rPr>
        <w:t xml:space="preserve"> </w:t>
      </w:r>
      <w:r w:rsidR="009B25A7">
        <w:rPr>
          <w:rFonts w:ascii="Arial" w:hAnsi="Arial" w:cs="Arial"/>
          <w:i/>
          <w:color w:val="000000"/>
          <w:lang w:val="en-US"/>
        </w:rPr>
        <w:t xml:space="preserve">are </w:t>
      </w:r>
      <w:r>
        <w:rPr>
          <w:rFonts w:ascii="Arial" w:hAnsi="Arial" w:cs="Arial"/>
          <w:i/>
          <w:color w:val="000000"/>
        </w:rPr>
        <w:t xml:space="preserve">rice (26.2%) and animal protein (16.3%). </w:t>
      </w:r>
      <w:r w:rsidR="009B25A7">
        <w:rPr>
          <w:rFonts w:ascii="Arial" w:hAnsi="Arial" w:cs="Arial"/>
          <w:i/>
          <w:color w:val="000000"/>
          <w:lang w:val="en-US"/>
        </w:rPr>
        <w:t>I</w:t>
      </w:r>
      <w:r>
        <w:rPr>
          <w:rFonts w:ascii="Arial" w:hAnsi="Arial" w:cs="Arial"/>
          <w:i/>
          <w:color w:val="000000"/>
        </w:rPr>
        <w:t xml:space="preserve">n general their food consumption is still carbohydrates </w:t>
      </w:r>
      <w:r w:rsidR="001C790C">
        <w:rPr>
          <w:rFonts w:ascii="Arial" w:hAnsi="Arial" w:cs="Arial"/>
          <w:i/>
          <w:color w:val="000000"/>
        </w:rPr>
        <w:t>dominant</w:t>
      </w:r>
      <w:r w:rsidR="001C790C">
        <w:rPr>
          <w:rFonts w:ascii="Arial" w:hAnsi="Arial" w:cs="Arial"/>
          <w:i/>
          <w:color w:val="000000"/>
          <w:lang w:val="en-US"/>
        </w:rPr>
        <w:t>, namely</w:t>
      </w:r>
      <w:r w:rsidR="001C790C">
        <w:rPr>
          <w:rFonts w:ascii="Arial" w:hAnsi="Arial" w:cs="Arial"/>
          <w:i/>
          <w:color w:val="000000"/>
        </w:rPr>
        <w:t xml:space="preserve"> </w:t>
      </w:r>
      <w:r>
        <w:rPr>
          <w:rFonts w:ascii="Arial" w:hAnsi="Arial" w:cs="Arial"/>
          <w:i/>
          <w:color w:val="000000"/>
        </w:rPr>
        <w:t xml:space="preserve">rice. </w:t>
      </w:r>
      <w:r w:rsidR="001C790C">
        <w:rPr>
          <w:rFonts w:ascii="Arial" w:hAnsi="Arial" w:cs="Arial"/>
          <w:i/>
          <w:color w:val="000000"/>
          <w:lang w:val="en-US"/>
        </w:rPr>
        <w:t>The f</w:t>
      </w:r>
      <w:r>
        <w:rPr>
          <w:rFonts w:ascii="Arial" w:hAnsi="Arial" w:cs="Arial"/>
          <w:i/>
          <w:color w:val="000000"/>
        </w:rPr>
        <w:t xml:space="preserve">armers' household food consumption is influenced by farming, food spending allocation, and strengthened by the number of family members. </w:t>
      </w:r>
      <w:r>
        <w:rPr>
          <w:rFonts w:ascii="Arial" w:hAnsi="Arial" w:cs="Arial"/>
          <w:i/>
          <w:color w:val="000000"/>
          <w:lang w:val="en-US"/>
        </w:rPr>
        <w:t xml:space="preserve">The results of the study recommend the importance of rural </w:t>
      </w:r>
      <w:r w:rsidR="001C790C">
        <w:rPr>
          <w:rFonts w:ascii="Arial" w:hAnsi="Arial" w:cs="Arial"/>
          <w:i/>
          <w:color w:val="000000"/>
          <w:lang w:val="en-US"/>
        </w:rPr>
        <w:t>employment</w:t>
      </w:r>
      <w:r>
        <w:rPr>
          <w:rFonts w:ascii="Arial" w:hAnsi="Arial" w:cs="Arial"/>
          <w:i/>
          <w:color w:val="000000"/>
          <w:lang w:val="en-US"/>
        </w:rPr>
        <w:t xml:space="preserve"> to provide a viable source of </w:t>
      </w:r>
      <w:r w:rsidR="001C790C">
        <w:rPr>
          <w:rFonts w:ascii="Arial" w:hAnsi="Arial" w:cs="Arial"/>
          <w:i/>
          <w:color w:val="000000"/>
          <w:lang w:val="en-US"/>
        </w:rPr>
        <w:t>farmers</w:t>
      </w:r>
      <w:r w:rsidR="00551664">
        <w:rPr>
          <w:rFonts w:ascii="Arial" w:hAnsi="Arial" w:cs="Arial"/>
          <w:i/>
          <w:color w:val="000000"/>
          <w:lang w:val="en-US"/>
        </w:rPr>
        <w:t>’</w:t>
      </w:r>
      <w:r w:rsidR="001C790C">
        <w:rPr>
          <w:rFonts w:ascii="Arial" w:hAnsi="Arial" w:cs="Arial"/>
          <w:i/>
          <w:color w:val="000000"/>
          <w:lang w:val="en-US"/>
        </w:rPr>
        <w:t xml:space="preserve"> </w:t>
      </w:r>
      <w:r>
        <w:rPr>
          <w:rFonts w:ascii="Arial" w:hAnsi="Arial" w:cs="Arial"/>
          <w:i/>
          <w:color w:val="000000"/>
          <w:lang w:val="en-US"/>
        </w:rPr>
        <w:t xml:space="preserve">income to improve </w:t>
      </w:r>
      <w:r w:rsidR="001C790C">
        <w:rPr>
          <w:rFonts w:ascii="Arial" w:hAnsi="Arial" w:cs="Arial"/>
          <w:i/>
          <w:color w:val="000000"/>
          <w:lang w:val="en-US"/>
        </w:rPr>
        <w:t>their households food security</w:t>
      </w:r>
      <w:r>
        <w:rPr>
          <w:rFonts w:ascii="Arial" w:hAnsi="Arial" w:cs="Arial"/>
          <w:i/>
          <w:color w:val="000000"/>
          <w:lang w:val="en-US"/>
        </w:rPr>
        <w:t>.</w:t>
      </w:r>
    </w:p>
    <w:p w:rsidR="00627B16" w:rsidRPr="00271992" w:rsidRDefault="00863192" w:rsidP="005A151C">
      <w:pPr>
        <w:spacing w:line="240" w:lineRule="auto"/>
        <w:rPr>
          <w:rFonts w:ascii="Arial" w:hAnsi="Arial" w:cs="Arial"/>
          <w:i/>
          <w:color w:val="000000"/>
          <w:lang w:val="en-US"/>
        </w:rPr>
      </w:pPr>
      <w:r w:rsidRPr="00627B16">
        <w:rPr>
          <w:rFonts w:ascii="Arial" w:hAnsi="Arial" w:cs="Arial"/>
          <w:i/>
          <w:color w:val="000000"/>
        </w:rPr>
        <w:t xml:space="preserve">Keywords: </w:t>
      </w:r>
      <w:r w:rsidR="00271992">
        <w:rPr>
          <w:rFonts w:ascii="Arial" w:hAnsi="Arial" w:cs="Arial"/>
          <w:i/>
          <w:color w:val="000000"/>
          <w:lang w:val="en-US"/>
        </w:rPr>
        <w:t xml:space="preserve">farmer’s income, </w:t>
      </w:r>
      <w:r w:rsidR="00783F42">
        <w:rPr>
          <w:rFonts w:ascii="Arial" w:hAnsi="Arial" w:cs="Arial"/>
          <w:i/>
          <w:color w:val="000000"/>
          <w:lang w:val="en-US"/>
        </w:rPr>
        <w:t xml:space="preserve">food </w:t>
      </w:r>
      <w:r w:rsidR="00D83A42">
        <w:rPr>
          <w:rFonts w:ascii="Arial" w:hAnsi="Arial" w:cs="Arial"/>
          <w:i/>
          <w:color w:val="000000"/>
          <w:lang w:val="en-US"/>
        </w:rPr>
        <w:t>consumption,</w:t>
      </w:r>
      <w:r w:rsidR="00271992">
        <w:rPr>
          <w:rFonts w:ascii="Arial" w:hAnsi="Arial" w:cs="Arial"/>
          <w:i/>
          <w:color w:val="000000"/>
          <w:lang w:val="en-US"/>
        </w:rPr>
        <w:t xml:space="preserve"> spending allocation, “Waduk Pacal”.</w:t>
      </w:r>
    </w:p>
    <w:p w:rsidR="0027611A" w:rsidRDefault="0027611A" w:rsidP="00627B16">
      <w:pPr>
        <w:spacing w:after="0"/>
        <w:rPr>
          <w:rFonts w:ascii="Arial" w:hAnsi="Arial" w:cs="Arial"/>
          <w:b/>
        </w:rPr>
      </w:pPr>
      <w:r>
        <w:rPr>
          <w:rFonts w:ascii="Arial" w:hAnsi="Arial" w:cs="Arial"/>
          <w:b/>
        </w:rPr>
        <w:lastRenderedPageBreak/>
        <w:t>PENDAHULUAN</w:t>
      </w:r>
    </w:p>
    <w:p w:rsidR="009F63D2" w:rsidRDefault="003A4508" w:rsidP="0027611A">
      <w:pPr>
        <w:spacing w:after="0" w:line="240" w:lineRule="auto"/>
        <w:jc w:val="both"/>
        <w:rPr>
          <w:rFonts w:ascii="Arial" w:hAnsi="Arial" w:cs="Arial"/>
          <w:lang w:val="sv-SE"/>
        </w:rPr>
      </w:pPr>
      <w:r w:rsidRPr="00A66DA4">
        <w:rPr>
          <w:rFonts w:ascii="Arial" w:hAnsi="Arial" w:cs="Arial"/>
          <w:lang w:val="sv-SE"/>
        </w:rPr>
        <w:t xml:space="preserve">”Waduk Pacal” mempunyai fungsi irigasi </w:t>
      </w:r>
      <w:r w:rsidR="00A66DA4" w:rsidRPr="00A66DA4">
        <w:rPr>
          <w:rFonts w:ascii="Arial" w:hAnsi="Arial" w:cs="Arial"/>
          <w:lang w:val="sv-SE"/>
        </w:rPr>
        <w:t xml:space="preserve">penting </w:t>
      </w:r>
      <w:r w:rsidR="00435537" w:rsidRPr="00A66DA4">
        <w:rPr>
          <w:rFonts w:ascii="Arial" w:hAnsi="Arial" w:cs="Arial"/>
          <w:lang w:val="sv-SE"/>
        </w:rPr>
        <w:t>pada 35% lahan</w:t>
      </w:r>
      <w:r w:rsidRPr="00A66DA4">
        <w:rPr>
          <w:rFonts w:ascii="Arial" w:hAnsi="Arial" w:cs="Arial"/>
          <w:lang w:val="sv-SE"/>
        </w:rPr>
        <w:t xml:space="preserve"> pertanian di </w:t>
      </w:r>
      <w:r w:rsidR="00435537" w:rsidRPr="00A66DA4">
        <w:rPr>
          <w:rFonts w:ascii="Arial" w:hAnsi="Arial" w:cs="Arial"/>
          <w:lang w:val="sv-SE"/>
        </w:rPr>
        <w:t xml:space="preserve">Kabupaten </w:t>
      </w:r>
      <w:r w:rsidRPr="00A66DA4">
        <w:rPr>
          <w:rFonts w:ascii="Arial" w:hAnsi="Arial" w:cs="Arial"/>
          <w:lang w:val="sv-SE"/>
        </w:rPr>
        <w:t>Bojonegoro</w:t>
      </w:r>
      <w:r w:rsidR="00435537" w:rsidRPr="00A66DA4">
        <w:rPr>
          <w:rFonts w:ascii="Arial" w:hAnsi="Arial" w:cs="Arial"/>
          <w:lang w:val="sv-SE"/>
        </w:rPr>
        <w:t xml:space="preserve"> </w:t>
      </w:r>
      <w:r w:rsidR="00A66DA4" w:rsidRPr="00A66DA4">
        <w:rPr>
          <w:rFonts w:ascii="Arial" w:hAnsi="Arial" w:cs="Arial"/>
          <w:lang w:val="sv-SE"/>
        </w:rPr>
        <w:t xml:space="preserve">namun permukaan air terus mengalami pendangkalan </w:t>
      </w:r>
      <w:r w:rsidR="00B94BBB" w:rsidRPr="00A66DA4">
        <w:rPr>
          <w:rFonts w:ascii="Arial" w:hAnsi="Arial" w:cs="Arial"/>
          <w:lang w:val="sv-SE"/>
        </w:rPr>
        <w:fldChar w:fldCharType="begin" w:fldLock="1"/>
      </w:r>
      <w:r w:rsidR="00A66DA4" w:rsidRPr="00A66DA4">
        <w:rPr>
          <w:rFonts w:ascii="Arial" w:hAnsi="Arial" w:cs="Arial"/>
          <w:lang w:val="sv-SE"/>
        </w:rPr>
        <w:instrText>ADDIN CSL_CITATION { "citationItems" : [ { "id" : "ITEM-1", "itemData" : { "author" : [ { "dropping-particle" : "", "family" : "Nasrulloh", "given" : "Rofqy Izan", "non-dropping-particle" : "", "parse-names" : false, "suffix" : "" }, { "dropping-particle" : "", "family" : "Suparwoto", "given" : "", "non-dropping-particle" : "", "parse-names" : false, "suffix" : "" } ], "container-title" : "AVATARA, e-Journal Pendidikan Sejarah", "id" : "ITEM-1", "issue" : "3", "issued" : { "date-parts" : [ [ "2014" ] ] }, "page" : "90-103", "title" : "Pembangunan Dan Pengaruh Waduk Pacal Terhadap Pertanian Masyarakat Kabupaten Bojonegoro Tahun 1927-2000", "type" : "article-journal", "volume" : "2" }, "uris" : [ "http://www.mendeley.com/documents/?uuid=643f5fea-683b-4418-9388-fca12f4cf505" ] } ], "mendeley" : { "formattedCitation" : "(Nasrulloh &amp; Suparwoto, 2014)", "plainTextFormattedCitation" : "(Nasrulloh &amp; Suparwoto, 2014)", "previouslyFormattedCitation" : "(Nasrulloh &amp; Suparwoto, 2014)" }, "properties" : {  }, "schema" : "https://github.com/citation-style-language/schema/raw/master/csl-citation.json" }</w:instrText>
      </w:r>
      <w:r w:rsidR="00B94BBB" w:rsidRPr="00A66DA4">
        <w:rPr>
          <w:rFonts w:ascii="Arial" w:hAnsi="Arial" w:cs="Arial"/>
          <w:lang w:val="sv-SE"/>
        </w:rPr>
        <w:fldChar w:fldCharType="separate"/>
      </w:r>
      <w:r w:rsidR="00A66DA4" w:rsidRPr="00A66DA4">
        <w:rPr>
          <w:rFonts w:ascii="Arial" w:hAnsi="Arial" w:cs="Arial"/>
          <w:noProof/>
          <w:lang w:val="sv-SE"/>
        </w:rPr>
        <w:t>(Nasrulloh &amp; Suparwoto, 2014)</w:t>
      </w:r>
      <w:r w:rsidR="00B94BBB" w:rsidRPr="00A66DA4">
        <w:rPr>
          <w:rFonts w:ascii="Arial" w:hAnsi="Arial" w:cs="Arial"/>
          <w:lang w:val="sv-SE"/>
        </w:rPr>
        <w:fldChar w:fldCharType="end"/>
      </w:r>
      <w:r w:rsidR="00A66DA4" w:rsidRPr="00A66DA4">
        <w:rPr>
          <w:rFonts w:ascii="Arial" w:hAnsi="Arial" w:cs="Arial"/>
          <w:lang w:val="sv-SE"/>
        </w:rPr>
        <w:t>.</w:t>
      </w:r>
      <w:r>
        <w:rPr>
          <w:rFonts w:ascii="Arial" w:hAnsi="Arial" w:cs="Arial"/>
          <w:lang w:val="sv-SE"/>
        </w:rPr>
        <w:t xml:space="preserve"> </w:t>
      </w:r>
      <w:r w:rsidR="009F63D2" w:rsidRPr="009F63D2">
        <w:rPr>
          <w:rFonts w:ascii="Arial" w:hAnsi="Arial" w:cs="Arial"/>
          <w:lang w:val="sv-SE"/>
        </w:rPr>
        <w:t>Petani di sekitar ”Waduk Pacal” me</w:t>
      </w:r>
      <w:r w:rsidR="00A66DA4">
        <w:rPr>
          <w:rFonts w:ascii="Arial" w:hAnsi="Arial" w:cs="Arial"/>
          <w:lang w:val="sv-SE"/>
        </w:rPr>
        <w:t>manfaat</w:t>
      </w:r>
      <w:r w:rsidR="009F63D2" w:rsidRPr="009F63D2">
        <w:rPr>
          <w:rFonts w:ascii="Arial" w:hAnsi="Arial" w:cs="Arial"/>
          <w:lang w:val="sv-SE"/>
        </w:rPr>
        <w:t>kan lahan waduk saat air surut sebagai tempat berusahatani, sehingga waktu budidaya terbatas.</w:t>
      </w:r>
      <w:r w:rsidR="009F63D2">
        <w:rPr>
          <w:rFonts w:ascii="Arial" w:hAnsi="Arial" w:cs="Arial"/>
          <w:lang w:val="sv-SE"/>
        </w:rPr>
        <w:t xml:space="preserve"> Daerah tersebut juga sering mengalami musibah banjir bandang yang melanda desa. Pada saat bersamaan air waduk menjadi penuh secara tiba-tiba dan merendam tanaman</w:t>
      </w:r>
      <w:r w:rsidR="007A56D8">
        <w:rPr>
          <w:rFonts w:ascii="Arial" w:hAnsi="Arial" w:cs="Arial"/>
          <w:lang w:val="sv-SE"/>
        </w:rPr>
        <w:t xml:space="preserve"> yang belum dipanen</w:t>
      </w:r>
      <w:r w:rsidR="009F63D2">
        <w:rPr>
          <w:rFonts w:ascii="Arial" w:hAnsi="Arial" w:cs="Arial"/>
          <w:lang w:val="sv-SE"/>
        </w:rPr>
        <w:t>.</w:t>
      </w:r>
      <w:r w:rsidR="00206D8A">
        <w:rPr>
          <w:rFonts w:ascii="Arial" w:hAnsi="Arial" w:cs="Arial"/>
          <w:lang w:val="sv-SE"/>
        </w:rPr>
        <w:t xml:space="preserve"> Petani</w:t>
      </w:r>
      <w:r w:rsidR="00EB1627">
        <w:rPr>
          <w:rFonts w:ascii="Arial" w:hAnsi="Arial" w:cs="Arial"/>
          <w:lang w:val="sv-SE"/>
        </w:rPr>
        <w:t xml:space="preserve"> sudah mempunyai pengetahuan lokal untuk</w:t>
      </w:r>
      <w:r w:rsidR="009F63D2">
        <w:rPr>
          <w:rFonts w:ascii="Arial" w:hAnsi="Arial" w:cs="Arial"/>
          <w:lang w:val="sv-SE"/>
        </w:rPr>
        <w:t xml:space="preserve"> memperkirakan kapan musim hujan datang dan menyesuaikan waktu tanam agar saat waduk penuh tanaman sudah dipanen.</w:t>
      </w:r>
      <w:r w:rsidR="00EB1627">
        <w:rPr>
          <w:rFonts w:ascii="Arial" w:hAnsi="Arial" w:cs="Arial"/>
          <w:lang w:val="sv-SE"/>
        </w:rPr>
        <w:t xml:space="preserve"> Namun perubahan iklim yang terjadi dalam kurun waktu 10 tahun terakhir mengakibatkan ketidakpastian cuaca, sehingga hujan pertama kadang </w:t>
      </w:r>
      <w:r w:rsidR="00206D8A">
        <w:rPr>
          <w:rFonts w:ascii="Arial" w:hAnsi="Arial" w:cs="Arial"/>
          <w:lang w:val="sv-SE"/>
        </w:rPr>
        <w:t xml:space="preserve">tiba-tiba datang lebih awal, kadang </w:t>
      </w:r>
      <w:r w:rsidR="003A4C94">
        <w:rPr>
          <w:rFonts w:ascii="Arial" w:hAnsi="Arial" w:cs="Arial"/>
          <w:lang w:val="sv-SE"/>
        </w:rPr>
        <w:t xml:space="preserve">waktunya </w:t>
      </w:r>
      <w:r w:rsidR="00EB1627">
        <w:rPr>
          <w:rFonts w:ascii="Arial" w:hAnsi="Arial" w:cs="Arial"/>
          <w:lang w:val="sv-SE"/>
        </w:rPr>
        <w:t>sangat mundur</w:t>
      </w:r>
      <w:r w:rsidR="00206D8A">
        <w:rPr>
          <w:rFonts w:ascii="Arial" w:hAnsi="Arial" w:cs="Arial"/>
          <w:lang w:val="sv-SE"/>
        </w:rPr>
        <w:t>.</w:t>
      </w:r>
    </w:p>
    <w:p w:rsidR="00EB1627" w:rsidRDefault="00EB1627" w:rsidP="007A56D8">
      <w:pPr>
        <w:spacing w:after="0" w:line="240" w:lineRule="auto"/>
        <w:ind w:firstLine="709"/>
        <w:jc w:val="both"/>
        <w:rPr>
          <w:rFonts w:ascii="Arial" w:hAnsi="Arial" w:cs="Arial"/>
          <w:lang w:val="sv-SE"/>
        </w:rPr>
      </w:pPr>
      <w:r>
        <w:rPr>
          <w:rFonts w:ascii="Arial" w:hAnsi="Arial" w:cs="Arial"/>
          <w:lang w:val="sv-SE"/>
        </w:rPr>
        <w:t xml:space="preserve">Problem paling berat dialami pada petani marjinal yang hanya mengandalkan lahan waduk saat kering untuk budidaya tanaman mereka. Pendapatan usahatani </w:t>
      </w:r>
      <w:r w:rsidR="00206D8A">
        <w:rPr>
          <w:rFonts w:ascii="Arial" w:hAnsi="Arial" w:cs="Arial"/>
          <w:lang w:val="sv-SE"/>
        </w:rPr>
        <w:t>sudah pasti sangat</w:t>
      </w:r>
      <w:r>
        <w:rPr>
          <w:rFonts w:ascii="Arial" w:hAnsi="Arial" w:cs="Arial"/>
          <w:lang w:val="sv-SE"/>
        </w:rPr>
        <w:t xml:space="preserve"> rendah</w:t>
      </w:r>
      <w:r w:rsidR="00206D8A">
        <w:rPr>
          <w:rFonts w:ascii="Arial" w:hAnsi="Arial" w:cs="Arial"/>
          <w:lang w:val="sv-SE"/>
        </w:rPr>
        <w:t>, ditambah risiko tidak panen jika waduk penuh secara tiba-tiba</w:t>
      </w:r>
      <w:r>
        <w:rPr>
          <w:rFonts w:ascii="Arial" w:hAnsi="Arial" w:cs="Arial"/>
          <w:lang w:val="sv-SE"/>
        </w:rPr>
        <w:t>. Mereka sudah beradaptasi dengan situasi keterbatasan ini dengan menambah pendapatan sebagai buruh tani di tetangga dan pekerjaan non pertanian seperti buruh ban</w:t>
      </w:r>
      <w:r w:rsidR="00206D8A">
        <w:rPr>
          <w:rFonts w:ascii="Arial" w:hAnsi="Arial" w:cs="Arial"/>
          <w:lang w:val="sv-SE"/>
        </w:rPr>
        <w:t>g</w:t>
      </w:r>
      <w:r>
        <w:rPr>
          <w:rFonts w:ascii="Arial" w:hAnsi="Arial" w:cs="Arial"/>
          <w:lang w:val="sv-SE"/>
        </w:rPr>
        <w:t xml:space="preserve">unan, berdagang, dan lain-lain. Kondisi geografis desa yang berada di perbukitan </w:t>
      </w:r>
      <w:r w:rsidR="00A66DA4">
        <w:rPr>
          <w:rFonts w:ascii="Arial" w:hAnsi="Arial" w:cs="Arial"/>
          <w:lang w:val="sv-SE"/>
        </w:rPr>
        <w:t xml:space="preserve">hutan jati </w:t>
      </w:r>
      <w:r>
        <w:rPr>
          <w:rFonts w:ascii="Arial" w:hAnsi="Arial" w:cs="Arial"/>
          <w:lang w:val="sv-SE"/>
        </w:rPr>
        <w:t xml:space="preserve">juga menjadi keterbatasan akses pada aktivitas ekonomi produktif. </w:t>
      </w:r>
    </w:p>
    <w:p w:rsidR="00AF5A0C" w:rsidRPr="003A4C94" w:rsidRDefault="003E73D1" w:rsidP="007A56D8">
      <w:pPr>
        <w:spacing w:after="0" w:line="240" w:lineRule="auto"/>
        <w:ind w:firstLine="709"/>
        <w:jc w:val="both"/>
        <w:rPr>
          <w:rFonts w:ascii="Arial" w:hAnsi="Arial" w:cs="Arial"/>
          <w:lang w:val="en-US"/>
        </w:rPr>
      </w:pPr>
      <w:r>
        <w:rPr>
          <w:rFonts w:ascii="Arial" w:hAnsi="Arial" w:cs="Arial"/>
          <w:lang w:val="sv-SE"/>
        </w:rPr>
        <w:t xml:space="preserve">Kepemilikan lahan merupakah aset penting petani </w:t>
      </w:r>
      <w:r w:rsidR="00B94BBB">
        <w:rPr>
          <w:rFonts w:ascii="Arial" w:hAnsi="Arial" w:cs="Arial"/>
          <w:lang w:val="sv-SE"/>
        </w:rPr>
        <w:fldChar w:fldCharType="begin" w:fldLock="1"/>
      </w:r>
      <w:r>
        <w:rPr>
          <w:rFonts w:ascii="Arial" w:hAnsi="Arial" w:cs="Arial"/>
          <w:lang w:val="sv-SE"/>
        </w:rPr>
        <w:instrText>ADDIN CSL_CITATION { "citationItems" : [ { "id" : "ITEM-1", "itemData" : { "DOI" : "10.1016/j.wdp.2020.100261", "ISSN" : "24522929", "abstract" : "The conventional wisdom of Arthur Lewis's dual sector model says that households in the agricultural (traditional) sector who can move out to a non-agricultural (modern) sector will become better off. We then scrutinize the last three waves of the Indonesia Family Life Survey (IFLS) to analyze the existence of the dual theorem. Our study uses Difference in Difference (DiD) regressions and ordered logit regressions to confirm that moving out of agriculture sectors has significantly increased the welfare of poor agricultural households, especially in the period of 2000\u20132007, but this is not the case of 2007\u20132014. Movement out of agricultural sectors decreases the probability of being always poor by 13.5 percentage points. However, when the economy transforms into a more advanced economy, simply moving out of agriculture does not guarantee that farmers, especially landless farmers, will become better off. Welfare improvement requires a shifting to formal non-agricultural sectors, but unfortunately farmers might not be readily equipped with the skills required in formal sectors. Our study also obviously confirms that farmland is an important asset for agricultural households. Agricultural households experiencing a decrease of agricultural land also decreased their expenditure per capita by IDR 36,833 in 2000 and IDR 68,683 in 2007. These findings suggest that, currently, moving out of agriculture is not the solution to improve the well-being of farmers. Keeping farmland ownership, raising investment in human capital, and the modernization of agriculture should be the main concerns in agricultural development.", "author" : [ { "dropping-particle" : "", "family" : "Moeis", "given" : "Faizal Rahmanto", "non-dropping-particle" : "", "parse-names" : false, "suffix" : "" }, { "dropping-particle" : "", "family" : "Dartanto", "given" : "Teguh", "non-dropping-particle" : "", "parse-names" : false, "suffix" : "" }, { "dropping-particle" : "", "family" : "Moeis", "given" : "Jossy Prananta", "non-dropping-particle" : "", "parse-names" : false, "suffix" : "" }, { "dropping-particle" : "", "family" : "Ikhsan", "given" : "Mohamad", "non-dropping-particle" : "", "parse-names" : false, "suffix" : "" } ], "container-title" : "World Development Perspectives", "id" : "ITEM-1", "issue" : "August", "issued" : { "date-parts" : [ [ "2020" ] ] }, "page" : "100261", "publisher" : "Elsevier Ltd", "title" : "A longitudinal study of agriculture households in Indonesia: The effect of land and labor mobility on welfare and poverty dynamics", "type" : "article-journal", "volume" : "20" }, "uris" : [ "http://www.mendeley.com/documents/?uuid=b76a77f4-70d5-4c02-921c-3cc5d119d683" ] } ], "mendeley" : { "formattedCitation" : "(Moeis, Dartanto, Moeis, &amp; Ikhsan, 2020)", "plainTextFormattedCitation" : "(Moeis, Dartanto, Moeis, &amp; Ikhsan, 2020)", "previouslyFormattedCitation" : "(Moeis, Dartanto, Moeis, &amp; Ikhsan, 2020)" }, "properties" : {  }, "schema" : "https://github.com/citation-style-language/schema/raw/master/csl-citation.json" }</w:instrText>
      </w:r>
      <w:r w:rsidR="00B94BBB">
        <w:rPr>
          <w:rFonts w:ascii="Arial" w:hAnsi="Arial" w:cs="Arial"/>
          <w:lang w:val="sv-SE"/>
        </w:rPr>
        <w:fldChar w:fldCharType="separate"/>
      </w:r>
      <w:r w:rsidRPr="0055048E">
        <w:rPr>
          <w:rFonts w:ascii="Arial" w:hAnsi="Arial" w:cs="Arial"/>
          <w:noProof/>
          <w:lang w:val="sv-SE"/>
        </w:rPr>
        <w:t>(Moeis, Dartanto, Moeis, &amp; Ikhsan, 2020)</w:t>
      </w:r>
      <w:r w:rsidR="00B94BBB">
        <w:rPr>
          <w:rFonts w:ascii="Arial" w:hAnsi="Arial" w:cs="Arial"/>
          <w:lang w:val="sv-SE"/>
        </w:rPr>
        <w:fldChar w:fldCharType="end"/>
      </w:r>
      <w:r w:rsidR="003A4C94">
        <w:rPr>
          <w:rFonts w:ascii="Arial" w:hAnsi="Arial" w:cs="Arial"/>
          <w:lang w:val="sv-SE"/>
        </w:rPr>
        <w:t xml:space="preserve">. </w:t>
      </w:r>
      <w:r w:rsidR="00AF5A0C">
        <w:rPr>
          <w:rFonts w:ascii="Arial" w:hAnsi="Arial" w:cs="Arial"/>
          <w:lang w:val="en-US"/>
        </w:rPr>
        <w:t>Sempitnya lahan yang dimiliki keluarga petani merupakan indikasi</w:t>
      </w:r>
      <w:r w:rsidR="00CA4DE6">
        <w:rPr>
          <w:rFonts w:ascii="Arial" w:hAnsi="Arial" w:cs="Arial"/>
          <w:lang w:val="en-US"/>
        </w:rPr>
        <w:t xml:space="preserve"> </w:t>
      </w:r>
      <w:r w:rsidR="00AF5A0C">
        <w:rPr>
          <w:rFonts w:ascii="Arial" w:hAnsi="Arial" w:cs="Arial"/>
        </w:rPr>
        <w:t xml:space="preserve">kemiskinan </w:t>
      </w:r>
      <w:r w:rsidR="00CA4DE6">
        <w:rPr>
          <w:rFonts w:ascii="Arial" w:hAnsi="Arial" w:cs="Arial"/>
          <w:lang w:val="en-US"/>
        </w:rPr>
        <w:t xml:space="preserve">karena rendahnya pendapatan usahatani </w:t>
      </w:r>
      <w:r w:rsidR="00B94BBB">
        <w:rPr>
          <w:rFonts w:ascii="Arial" w:hAnsi="Arial" w:cs="Arial"/>
          <w:lang w:val="en-US"/>
        </w:rPr>
        <w:fldChar w:fldCharType="begin" w:fldLock="1"/>
      </w:r>
      <w:r w:rsidR="00CA4DE6">
        <w:rPr>
          <w:rFonts w:ascii="Arial" w:hAnsi="Arial" w:cs="Arial"/>
          <w:lang w:val="en-US"/>
        </w:rPr>
        <w:instrText>ADDIN CSL_CITATION { "citationItems" : [ { "id" : "ITEM-1", "itemData" : { "DOI" : "10.3390/su11092715", "ISSN" : "20711050", "abstract" : "Food security is a global challenge and threatens mainly smallholder farmers in developing countries. The main aim of this paper is to determine factors that are associated with food security in Zambia. This study utilizes the household questionnaire survey dataset of 400 smallholder farmers in four districts conducted in southern Zambia in 2016. To measure food security, the study employs two food security indicators, namely the food consumption score (FCS) and the household hunger scale (HHS). Two ordered probit models are estimated with the dependent variables FCS and HHS. Both the FCS and HHS models' findings reveal that higher education levels of household head, increasing livestock income, secure land tenure, increasing land size, and group membership increase the probability of household food and nutrition security. The results imply that policies supporting livestock development programs such as training of farmers in animal husbandry, as well as policies increasing land tenure security and empowerment of farmers groups, have the potential to enhance household food and nutrition security.", "author" : [ { "dropping-particle" : "", "family" : "Nkomoki", "given" : "William", "non-dropping-particle" : "", "parse-names" : false, "suffix" : "" }, { "dropping-particle" : "", "family" : "Bavorov\u00e1", "given" : "Miroslava", "non-dropping-particle" : "", "parse-names" : false, "suffix" : "" }, { "dropping-particle" : "", "family" : "Banout", "given" : "Jan", "non-dropping-particle" : "", "parse-names" : false, "suffix" : "" } ], "container-title" : "Sustainability (Switzerland)", "id" : "ITEM-1", "issue" : "9", "issued" : { "date-parts" : [ [ "2019" ] ] }, "page" : "1-18", "title" : "Factors associated with household food security in Zambia", "type" : "article-journal", "volume" : "11" }, "uris" : [ "http://www.mendeley.com/documents/?uuid=a569e747-a1ea-4b65-8df4-7e185e1d306b" ] } ], "mendeley" : { "formattedCitation" : "(Nkomoki, Bavorov\u00e1, &amp; Banout, 2019)", "plainTextFormattedCitation" : "(Nkomoki, Bavorov\u00e1, &amp; Banout, 2019)", "previouslyFormattedCitation" : "(Nkomoki, Bavorov\u00e1, &amp; Banout, 2019)" }, "properties" : {  }, "schema" : "https://github.com/citation-style-language/schema/raw/master/csl-citation.json" }</w:instrText>
      </w:r>
      <w:r w:rsidR="00B94BBB">
        <w:rPr>
          <w:rFonts w:ascii="Arial" w:hAnsi="Arial" w:cs="Arial"/>
          <w:lang w:val="en-US"/>
        </w:rPr>
        <w:fldChar w:fldCharType="separate"/>
      </w:r>
      <w:r w:rsidR="00CA4DE6" w:rsidRPr="00CA4DE6">
        <w:rPr>
          <w:rFonts w:ascii="Arial" w:hAnsi="Arial" w:cs="Arial"/>
          <w:noProof/>
          <w:lang w:val="en-US"/>
        </w:rPr>
        <w:t>(Nkomoki, Bavorová, &amp; Banout, 2019)</w:t>
      </w:r>
      <w:r w:rsidR="00B94BBB">
        <w:rPr>
          <w:rFonts w:ascii="Arial" w:hAnsi="Arial" w:cs="Arial"/>
          <w:lang w:val="en-US"/>
        </w:rPr>
        <w:fldChar w:fldCharType="end"/>
      </w:r>
      <w:r w:rsidR="00AF5A0C">
        <w:rPr>
          <w:rFonts w:ascii="Arial" w:hAnsi="Arial" w:cs="Arial"/>
        </w:rPr>
        <w:t>.</w:t>
      </w:r>
      <w:r w:rsidR="003A4C94">
        <w:rPr>
          <w:rFonts w:ascii="Arial" w:hAnsi="Arial" w:cs="Arial"/>
          <w:lang w:val="en-US"/>
        </w:rPr>
        <w:t xml:space="preserve"> Keadaan ini menjadi ancaman ketahanan pangan pada keluarga petani. </w:t>
      </w:r>
    </w:p>
    <w:p w:rsidR="007D6314" w:rsidRPr="007D6314" w:rsidRDefault="006E75DC" w:rsidP="007A56D8">
      <w:pPr>
        <w:spacing w:after="0" w:line="240" w:lineRule="auto"/>
        <w:ind w:firstLine="709"/>
        <w:jc w:val="both"/>
        <w:rPr>
          <w:rFonts w:ascii="Arial" w:hAnsi="Arial" w:cs="Arial"/>
        </w:rPr>
      </w:pPr>
      <w:r>
        <w:rPr>
          <w:rFonts w:ascii="Arial" w:hAnsi="Arial" w:cs="Arial"/>
          <w:lang w:val="en-US"/>
        </w:rPr>
        <w:t xml:space="preserve">Salah satu dimensi penting dalam ketahanan pangan adalah ketahanan pangan rumahtangga </w:t>
      </w:r>
      <w:r w:rsidR="00B94BBB">
        <w:rPr>
          <w:rFonts w:ascii="Arial" w:hAnsi="Arial" w:cs="Arial"/>
          <w:lang w:val="en-US"/>
        </w:rPr>
        <w:fldChar w:fldCharType="begin" w:fldLock="1"/>
      </w:r>
      <w:r>
        <w:rPr>
          <w:rFonts w:ascii="Arial" w:hAnsi="Arial" w:cs="Arial"/>
          <w:lang w:val="en-US"/>
        </w:rPr>
        <w:instrText>ADDIN CSL_CITATION { "citationItems" : [ { "id" : "ITEM-1", "itemData" : { "DOI" : "10.1016/j.gfs.2016.10.002", "ISSN" : "2211-9124", "abstract" : "Despite of remarkable achievements in the past, China is also facing several major challenges, in particular on ensuring sustainable growth of agriculture, improving food security, increasing farmers' income. The paper reviews China's agricultural and food policy with specific focus on recent challenges, initial policy responses and their consequences, and re-adjusting in policies. The results show that the policy responses to the challenges of sustainable agriculture are strong and encouraging. Adjusting the national food security target in response to sustainable agriculture and major efforts to improve food security are significant. To increase farmer's income, China has shifted its policy regime from taxing to subsidizing and protecting agriculture in the past decade. However, the results of these efforts are mixture. Price interventions increased farmers' income, they also resulted in several serious problems. Good news is that some new efforts to solve these problems may bring China's market reform back to the right track though they still needs to be evaluated. The paper concludes that the previous experiences on agricultural development through institutional reform, technology change, market reform, and investment in agriculture should still be the keys for successfully ensuring food security and sustainable agriculture for China in the future. 1.", "author" : [ { "dropping-particle" : "", "family" : "Huang", "given" : "Jikun", "non-dropping-particle" : "", "parse-names" : false, "suffix" : "" }, { "dropping-particle" : "", "family" : "Yang", "given" : "Guolei", "non-dropping-particle" : "", "parse-names" : false, "suffix" : "" } ], "container-title" : "Global Food Security", "id" : "ITEM-1", "issued" : { "date-parts" : [ [ "2017" ] ] }, "page" : "119-126", "publisher" : "Elsevier B.V.", "title" : "Understanding Recent Challenges and New Food Policy in China", "type" : "article-journal", "volume" : "12" }, "uris" : [ "http://www.mendeley.com/documents/?uuid=962953df-6362-4c75-92d3-8562c6ca1af5" ] } ], "mendeley" : { "formattedCitation" : "(Huang &amp; Yang, 2017)", "plainTextFormattedCitation" : "(Huang &amp; Yang, 2017)", "previouslyFormattedCitation" : "(Huang &amp; Yang, 2017)" }, "properties" : {  }, "schema" : "https://github.com/citation-style-language/schema/raw/master/csl-citation.json" }</w:instrText>
      </w:r>
      <w:r w:rsidR="00B94BBB">
        <w:rPr>
          <w:rFonts w:ascii="Arial" w:hAnsi="Arial" w:cs="Arial"/>
          <w:lang w:val="en-US"/>
        </w:rPr>
        <w:fldChar w:fldCharType="separate"/>
      </w:r>
      <w:r w:rsidRPr="006E75DC">
        <w:rPr>
          <w:rFonts w:ascii="Arial" w:hAnsi="Arial" w:cs="Arial"/>
          <w:noProof/>
          <w:lang w:val="en-US"/>
        </w:rPr>
        <w:t>(Huang &amp; Yang, 2017)</w:t>
      </w:r>
      <w:r w:rsidR="00B94BBB">
        <w:rPr>
          <w:rFonts w:ascii="Arial" w:hAnsi="Arial" w:cs="Arial"/>
          <w:lang w:val="en-US"/>
        </w:rPr>
        <w:fldChar w:fldCharType="end"/>
      </w:r>
      <w:r w:rsidR="00551664">
        <w:rPr>
          <w:rFonts w:ascii="Arial" w:hAnsi="Arial" w:cs="Arial"/>
          <w:lang w:val="en-US"/>
        </w:rPr>
        <w:t xml:space="preserve">. </w:t>
      </w:r>
      <w:r>
        <w:rPr>
          <w:rFonts w:ascii="Arial" w:hAnsi="Arial" w:cs="Arial"/>
          <w:lang w:val="en-US"/>
        </w:rPr>
        <w:t xml:space="preserve">Pada petani lahan sempit, ketahanan pangan rumahtangga </w:t>
      </w:r>
      <w:r w:rsidR="003A4C94">
        <w:rPr>
          <w:rFonts w:ascii="Arial" w:hAnsi="Arial" w:cs="Arial"/>
          <w:lang w:val="en-US"/>
        </w:rPr>
        <w:t>dapat di</w:t>
      </w:r>
      <w:r>
        <w:rPr>
          <w:rFonts w:ascii="Arial" w:hAnsi="Arial" w:cs="Arial"/>
          <w:lang w:val="en-US"/>
        </w:rPr>
        <w:t>wujud</w:t>
      </w:r>
      <w:r w:rsidR="003A4C94">
        <w:rPr>
          <w:rFonts w:ascii="Arial" w:hAnsi="Arial" w:cs="Arial"/>
          <w:lang w:val="en-US"/>
        </w:rPr>
        <w:t>kan</w:t>
      </w:r>
      <w:r>
        <w:rPr>
          <w:rFonts w:ascii="Arial" w:hAnsi="Arial" w:cs="Arial"/>
          <w:lang w:val="en-US"/>
        </w:rPr>
        <w:t xml:space="preserve"> melalui</w:t>
      </w:r>
      <w:r w:rsidR="003A4C94">
        <w:rPr>
          <w:rFonts w:ascii="Arial" w:hAnsi="Arial" w:cs="Arial"/>
          <w:lang w:val="en-US"/>
        </w:rPr>
        <w:t xml:space="preserve"> </w:t>
      </w:r>
      <w:r w:rsidR="007D6314" w:rsidRPr="007D6314">
        <w:rPr>
          <w:rFonts w:ascii="Arial" w:hAnsi="Arial" w:cs="Arial"/>
        </w:rPr>
        <w:t xml:space="preserve">diversifikasi tanaman </w:t>
      </w:r>
      <w:r w:rsidR="00B94BBB">
        <w:rPr>
          <w:rFonts w:ascii="Arial" w:hAnsi="Arial" w:cs="Arial"/>
          <w:lang w:val="en-US"/>
        </w:rPr>
        <w:fldChar w:fldCharType="begin" w:fldLock="1"/>
      </w:r>
      <w:r w:rsidR="00783F42">
        <w:rPr>
          <w:rFonts w:ascii="Arial" w:hAnsi="Arial" w:cs="Arial"/>
          <w:lang w:val="en-US"/>
        </w:rPr>
        <w:instrText>ADDIN CSL_CITATION { "citationItems" : [ { "id" : "ITEM-1", "itemData" : { "DOI" : "10.1186/s40066-018-0160-x", "ISSN" : "20487010", "abstract" : "Background: This paper concerns the role of crop diversification in improving household food security in central Malawi. In this country, the agricultural sector is dominated by smallholder farming and rain-fed food production systems that are facing increasing challenges from land degradation and declining soil fertility. Maize is the staple food crop, and as such, the majority of farmers grow it regardless of land suitability. This has led to what scientists have labeled as \"maize poverty trap.\" In the event of prolonged drought, maize fails thus leaving farmers food insecure. However, research in Sub-Saharan Africa has shown that crop diversification provides smallholder farmers with a diversity of diet, improves their income, and nutrition security. Due to increased cases of malnutrition and food insecurity, in the wake of climate change, government of Malawi has in the past few years intensified extension efforts for crop diversification. Methods: The study is based on a sample of 271 randomly selected smallholder farming households from central Malawi. It investigates the influence of crop diversification and other household socioeconomic characteristics on the household Food Consumption Score and Household Food Insecurity Access Score. In our analysis, we rely heavily on a combination of ordinary least squares techniques and some descriptive statistics. Results: Our results show that crop diversification, cattle ownership, access to credit and attaining of education have a positive and significant effect on the household Food Consumption Score. Precisely, crop diversification, cattle ownership and access to credit are all significant at 5% level, while education is significant at 10%. In addition, crop diversification and attaining of formal education by household head were found to have a negative and significant effect on Household Food Insecurity Access Score and were all significant at 1% level. Conclusion and policy recommendation: Based on our study findings, we conclude that crop diversification is one viable option in smallholder farming that can ensure establishment of resilient agricultural systems that can contribute significantly to household food security. In terms of policy, the results imply that the current efforts by government of Malawi to intensify promotion of crop diversification should remain a priority policy direction due to the continued malnutrition and food insecurity threat. This is particularly so in this era of clima\u2026", "author" : [ { "dropping-particle" : "", "family" : "Mango", "given" : "Nelson", "non-dropping-particle" : "", "parse-names" : false, "suffix" : "" }, { "dropping-particle" : "", "family" : "Makate", "given" : "Clifton", "non-dropping-particle" : "", "parse-names" : false, "suffix" : "" }, { "dropping-particle" : "", "family" : "Mapemba", "given" : "Lawrence", "non-dropping-particle" : "", "parse-names" : false, "suffix" : "" }, { "dropping-particle" : "", "family" : "Sopo", "given" : "Mathinda", "non-dropping-particle" : "", "parse-names" : false, "suffix" : "" } ], "container-title" : "Agriculture and Food Security", "id" : "ITEM-1", "issue" : "1", "issued" : { "date-parts" : [ [ "2018" ] ] }, "page" : "1-10", "publisher" : "BioMed Central", "title" : "The role of crop diversification in improving household food security in central Malawi", "type" : "article-journal", "volume" : "7" }, "uris" : [ "http://www.mendeley.com/documents/?uuid=df2108d5-4850-4d29-a664-5c1d1025e227" ] }, { "id" : "ITEM-2", "itemData" : { "DOI" : "10.3390/su12030901", "ISBN" : "8602787286", "ISSN" : "20711050", "abstract" : "Investigated in this work is the impact of contract farming participation on smallholder farmers' income and food security in rice crop production in Northern Benin using 400 randomly selected rice farmer households. Unlike previous studies, we corrected for both observed and unobserved biases by combining propensity score matching (PSM) and the local average treatment effect parameter (LATE). The results showed significant negative consequences of partaking in rice contract farming. We found evidence of significant negative effects on rice production income at a 1% level. The more the rice farmers join in contract farming, the lower the farm income became. Decreased food consumption was also a result of contract farming participation for potential participants by a score of 60.64, placing their households at the food security status level of poor food consumption because the quantity and nutritional quality of the food consumed were inadequate. Contract farming is, therefore, not a reasonable policy instrument that can help farmers increase their income and improve their food security level in the Alibori Department, Benin if farmers do not diversify their crops. The necessary resources and economic environment are not yet in place to allow contract farming to take full advantage of its potential benefits. To prevent the wasting of scarce public resources, expanding contract farming would not be appropriate in marginal areas with markets and other infrastructure. Additional measures are needed for contract farming to be profitable for contracting actors and to ensure sustainability and the large-scale participation of farmers.", "author" : [ { "dropping-particle" : "", "family" : "Olounlade", "given" : "Odountan Ambaliou", "non-dropping-particle" : "", "parse-names" : false, "suffix" : "" }, { "dropping-particle" : "", "family" : "Li", "given" : "Gu Cheng", "non-dropping-particle" : "", "parse-names" : false, "suffix" : "" }, { "dropping-particle" : "", "family" : "Kokoye", "given" : "S\u00e8nakpon E.Haroll", "non-dropping-particle" : "", "parse-names" : false, "suffix" : "" }, { "dropping-particle" : "", "family" : "Dossouhoui", "given" : "Fran\u00e7ois Vih\u00f4d\u00e9", "non-dropping-particle" : "", "parse-names" : false, "suffix" : "" }, { "dropping-particle" : "", "family" : "Akpa", "given" : "Kuassi Auxence Aristide", "non-dropping-particle" : "", "parse-names" : false, "suffix" : "" }, { "dropping-particle" : "", "family" : "Anshiso", "given" : "Dessalegn", "non-dropping-particle" : "", "parse-names" : false, "suffix" : "" }, { "dropping-particle" : "", "family" : "Biaou", "given" : "Gauthier", "non-dropping-particle" : "", "parse-names" : false, "suffix" : "" } ], "container-title" : "Sustainability (Switzerland)", "id" : "ITEM-2", "issue" : "3", "issued" : { "date-parts" : [ [ "2020" ] ] }, "page" : "1-19", "title" : "Impact of participation in contract farming on smallholder farmers' income and food security in rural Benin: PSM and LATE parameter combined", "type" : "article-journal", "volume" : "12" }, "uris" : [ "http://www.mendeley.com/documents/?uuid=a917db26-5bf3-4b80-8093-e052b29cec19" ] } ], "mendeley" : { "formattedCitation" : "(Mango, Makate, Mapemba, &amp; Sopo, 2018; Olounlade et al., 2020)", "plainTextFormattedCitation" : "(Mango, Makate, Mapemba, &amp; Sopo, 2018; Olounlade et al., 2020)", "previouslyFormattedCitation" : "(Mango, Makate, Mapemba, &amp; Sopo, 2018; Olounlade et al., 2020)" }, "properties" : {  }, "schema" : "https://github.com/citation-style-language/schema/raw/master/csl-citation.json" }</w:instrText>
      </w:r>
      <w:r w:rsidR="00B94BBB">
        <w:rPr>
          <w:rFonts w:ascii="Arial" w:hAnsi="Arial" w:cs="Arial"/>
          <w:lang w:val="en-US"/>
        </w:rPr>
        <w:fldChar w:fldCharType="separate"/>
      </w:r>
      <w:r w:rsidR="00783F42" w:rsidRPr="00783F42">
        <w:rPr>
          <w:rFonts w:ascii="Arial" w:hAnsi="Arial" w:cs="Arial"/>
          <w:noProof/>
          <w:lang w:val="en-US"/>
        </w:rPr>
        <w:t>(Mango, Makate, Mapemba, &amp; Sopo, 2018; Olounlade et al., 2020)</w:t>
      </w:r>
      <w:r w:rsidR="00B94BBB">
        <w:rPr>
          <w:rFonts w:ascii="Arial" w:hAnsi="Arial" w:cs="Arial"/>
          <w:lang w:val="en-US"/>
        </w:rPr>
        <w:fldChar w:fldCharType="end"/>
      </w:r>
      <w:r w:rsidR="00783F42">
        <w:rPr>
          <w:rFonts w:ascii="Arial" w:hAnsi="Arial" w:cs="Arial"/>
          <w:lang w:val="en-US"/>
        </w:rPr>
        <w:t>.</w:t>
      </w:r>
      <w:r w:rsidR="007D6314">
        <w:rPr>
          <w:rFonts w:ascii="Arial" w:hAnsi="Arial" w:cs="Arial"/>
          <w:lang w:val="en-US"/>
        </w:rPr>
        <w:t xml:space="preserve"> </w:t>
      </w:r>
      <w:r w:rsidR="007D6314" w:rsidRPr="007D6314">
        <w:rPr>
          <w:rFonts w:ascii="Arial" w:hAnsi="Arial" w:cs="Arial"/>
        </w:rPr>
        <w:t xml:space="preserve"> </w:t>
      </w:r>
      <w:r w:rsidR="00783F42">
        <w:rPr>
          <w:rFonts w:ascii="Arial" w:hAnsi="Arial" w:cs="Arial"/>
          <w:lang w:val="en-US"/>
        </w:rPr>
        <w:t>K</w:t>
      </w:r>
      <w:r w:rsidR="007D6314" w:rsidRPr="007D6314">
        <w:rPr>
          <w:rFonts w:ascii="Arial" w:hAnsi="Arial" w:cs="Arial"/>
        </w:rPr>
        <w:t>eluarga petani dapat memanfaatkan tanaman sayuran atau palawija untuk mencukupi kebutuhan konsumsi rumahtangga.</w:t>
      </w:r>
    </w:p>
    <w:p w:rsidR="00797C97" w:rsidRDefault="000E2881" w:rsidP="007A56D8">
      <w:pPr>
        <w:spacing w:after="0" w:line="240" w:lineRule="auto"/>
        <w:ind w:firstLine="709"/>
        <w:jc w:val="both"/>
        <w:rPr>
          <w:rFonts w:ascii="Arial" w:hAnsi="Arial" w:cs="Arial"/>
          <w:lang w:val="sv-SE"/>
        </w:rPr>
      </w:pPr>
      <w:r>
        <w:rPr>
          <w:rFonts w:ascii="Arial" w:hAnsi="Arial" w:cs="Arial"/>
          <w:lang w:val="sv-SE"/>
        </w:rPr>
        <w:t>Petani lahan sempit</w:t>
      </w:r>
      <w:r w:rsidR="00D62AD4">
        <w:rPr>
          <w:rFonts w:ascii="Arial" w:hAnsi="Arial" w:cs="Arial"/>
          <w:lang w:val="sv-SE"/>
        </w:rPr>
        <w:t xml:space="preserve"> di sekitar waduk</w:t>
      </w:r>
      <w:r>
        <w:rPr>
          <w:rFonts w:ascii="Arial" w:hAnsi="Arial" w:cs="Arial"/>
          <w:lang w:val="sv-SE"/>
        </w:rPr>
        <w:t xml:space="preserve"> sudah melakukan upaya menambah pendapatan.  </w:t>
      </w:r>
      <w:r w:rsidR="003E73D1">
        <w:rPr>
          <w:rFonts w:ascii="Arial" w:hAnsi="Arial" w:cs="Arial"/>
          <w:lang w:val="sv-SE"/>
        </w:rPr>
        <w:t xml:space="preserve">Ketiadaan lahan pertanian juga menjadi salah satu penyebab petani juga bekerja pada industri rumahan di pedesaan </w:t>
      </w:r>
      <w:r w:rsidR="00B94BBB">
        <w:rPr>
          <w:rFonts w:ascii="Arial" w:hAnsi="Arial" w:cs="Arial"/>
          <w:lang w:val="sv-SE"/>
        </w:rPr>
        <w:fldChar w:fldCharType="begin" w:fldLock="1"/>
      </w:r>
      <w:r w:rsidR="003E73D1">
        <w:rPr>
          <w:rFonts w:ascii="Arial" w:hAnsi="Arial" w:cs="Arial"/>
          <w:lang w:val="sv-SE"/>
        </w:rPr>
        <w:instrText>ADDIN CSL_CITATION { "citationItems" : [ { "id" : "ITEM-1", "itemData" : { "DOI" : "10.21107/agriekonomika.v9i1.7286", "ISSN" : "2301-9948", "abstract" : "Fenomena petani meninggalkan lahan dan beralih profesi menjadi pekerja di industri rumahan kian marak seiring bermunculannya industri rumahan yang tumbuh di pedesaan. Penelitian ini bermaksud untuk mengetahui penyebab petani memutuskan untuk menjadi pekerja industri rumahan di Kabupaten Tasikmalaya. Penelitian menggunakan rumus Slovin dalam penentuan jumlah sampel dan analisis regresi linier berganda untuk mengukur variabel pekerja industri rumahan dan variabel yang diduga kuat menjadi penyebabnya yaitu usia, pendidikan, kepemilikan lahan, pendapatan, kosmopolitan, tanggungan keluarga, lingkungan ekonomi dan kebijakan pemerintah. Hasil penelitian menunjukkan penyebab menjadi pekerja industri rumahan adalah kombinasi antara ketiadaan lahan yang dimiliki, usia produktif dengan jumlah tanggungan keluarga 2\u20133 orang menyebabkan terlibat utang. Kecuali kosmopolitan yang tidak menjadi masalah. Disarankan kebijakan pemerintah untuk menjadikan industri rumahan berbasis hasil pertanian untuk menjaga keberlangsungan pertanian dan keragaman pangan Indonesia. Semua sektor berada dalam keseimbangan.", "author" : [ { "dropping-particle" : "", "family" : "Sundari", "given" : "Ristina Siti", "non-dropping-particle" : "", "parse-names" : false, "suffix" : "" }, { "dropping-particle" : "", "family" : "Kurniasih", "given" : "Euis", "non-dropping-particle" : "", "parse-names" : false, "suffix" : "" }, { "dropping-particle" : "", "family" : "Heryadi", "given" : "D Yadi", "non-dropping-particle" : "", "parse-names" : false, "suffix" : "" }, { "dropping-particle" : "", "family" : "Arshad", "given" : "Adnan", "non-dropping-particle" : "", "parse-names" : false, "suffix" : "" } ], "container-title" : "Agriekonomika", "id" : "ITEM-1", "issue" : "1", "issued" : { "date-parts" : [ [ "2020" ] ] }, "page" : "61-71", "title" : "Mengapa Petani menjadi Pekerja Industri Rumahan di Pedesaan?", "type" : "article-journal", "volume" : "9" }, "uris" : [ "http://www.mendeley.com/documents/?uuid=2fd86586-df1c-40ba-80a1-aaa61ca7352b" ] } ], "mendeley" : { "formattedCitation" : "(Sundari, Kurniasih, Heryadi, &amp; Arshad, 2020)", "plainTextFormattedCitation" : "(Sundari, Kurniasih, Heryadi, &amp; Arshad, 2020)", "previouslyFormattedCitation" : "(Sundari, Kurniasih, Heryadi, &amp; Arshad, 2020)" }, "properties" : {  }, "schema" : "https://github.com/citation-style-language/schema/raw/master/csl-citation.json" }</w:instrText>
      </w:r>
      <w:r w:rsidR="00B94BBB">
        <w:rPr>
          <w:rFonts w:ascii="Arial" w:hAnsi="Arial" w:cs="Arial"/>
          <w:lang w:val="sv-SE"/>
        </w:rPr>
        <w:fldChar w:fldCharType="separate"/>
      </w:r>
      <w:r w:rsidR="003E73D1" w:rsidRPr="003C0103">
        <w:rPr>
          <w:rFonts w:ascii="Arial" w:hAnsi="Arial" w:cs="Arial"/>
          <w:noProof/>
          <w:lang w:val="sv-SE"/>
        </w:rPr>
        <w:t>(Sundari, Kurniasih, Heryadi, &amp; Arshad, 2020)</w:t>
      </w:r>
      <w:r w:rsidR="00B94BBB">
        <w:rPr>
          <w:rFonts w:ascii="Arial" w:hAnsi="Arial" w:cs="Arial"/>
          <w:lang w:val="sv-SE"/>
        </w:rPr>
        <w:fldChar w:fldCharType="end"/>
      </w:r>
      <w:r w:rsidR="003E73D1">
        <w:rPr>
          <w:rFonts w:ascii="Arial" w:hAnsi="Arial" w:cs="Arial"/>
          <w:lang w:val="sv-SE"/>
        </w:rPr>
        <w:t>.</w:t>
      </w:r>
      <w:r>
        <w:rPr>
          <w:rFonts w:ascii="Arial" w:hAnsi="Arial" w:cs="Arial"/>
          <w:lang w:val="sv-SE"/>
        </w:rPr>
        <w:t xml:space="preserve"> </w:t>
      </w:r>
      <w:r w:rsidR="003E73D1">
        <w:rPr>
          <w:rFonts w:ascii="Arial" w:hAnsi="Arial" w:cs="Arial"/>
          <w:lang w:val="sv-SE"/>
        </w:rPr>
        <w:t xml:space="preserve">Namun mereka yang mempunyai lahan sempit masih mempunyai keterbatasan ketrampilan dan peralatan jika ingin menambah pendapatan non pertanian </w:t>
      </w:r>
      <w:r w:rsidR="00B94BBB">
        <w:rPr>
          <w:rFonts w:ascii="Arial" w:hAnsi="Arial" w:cs="Arial"/>
          <w:lang w:val="sv-SE"/>
        </w:rPr>
        <w:fldChar w:fldCharType="begin" w:fldLock="1"/>
      </w:r>
      <w:r w:rsidR="008229C3">
        <w:rPr>
          <w:rFonts w:ascii="Arial" w:hAnsi="Arial" w:cs="Arial"/>
          <w:lang w:val="sv-SE"/>
        </w:rPr>
        <w:instrText>ADDIN CSL_CITATION { "citationItems" : [ { "id" : "ITEM-1", "itemData" : { "DOI" : "10.1016/j.wdp.2020.100261", "ISSN" : "24522929", "abstract" : "The conventional wisdom of Arthur Lewis's dual sector model says that households in the agricultural (traditional) sector who can move out to a non-agricultural (modern) sector will become better off. We then scrutinize the last three waves of the Indonesia Family Life Survey (IFLS) to analyze the existence of the dual theorem. Our study uses Difference in Difference (DiD) regressions and ordered logit regressions to confirm that moving out of agriculture sectors has significantly increased the welfare of poor agricultural households, especially in the period of 2000\u20132007, but this is not the case of 2007\u20132014. Movement out of agricultural sectors decreases the probability of being always poor by 13.5 percentage points. However, when the economy transforms into a more advanced economy, simply moving out of agriculture does not guarantee that farmers, especially landless farmers, will become better off. Welfare improvement requires a shifting to formal non-agricultural sectors, but unfortunately farmers might not be readily equipped with the skills required in formal sectors. Our study also obviously confirms that farmland is an important asset for agricultural households. Agricultural households experiencing a decrease of agricultural land also decreased their expenditure per capita by IDR 36,833 in 2000 and IDR 68,683 in 2007. These findings suggest that, currently, moving out of agriculture is not the solution to improve the well-being of farmers. Keeping farmland ownership, raising investment in human capital, and the modernization of agriculture should be the main concerns in agricultural development.", "author" : [ { "dropping-particle" : "", "family" : "Moeis", "given" : "Faizal Rahmanto", "non-dropping-particle" : "", "parse-names" : false, "suffix" : "" }, { "dropping-particle" : "", "family" : "Dartanto", "given" : "Teguh", "non-dropping-particle" : "", "parse-names" : false, "suffix" : "" }, { "dropping-particle" : "", "family" : "Moeis", "given" : "Jossy Prananta", "non-dropping-particle" : "", "parse-names" : false, "suffix" : "" }, { "dropping-particle" : "", "family" : "Ikhsan", "given" : "Mohamad", "non-dropping-particle" : "", "parse-names" : false, "suffix" : "" } ], "container-title" : "World Development Perspectives", "id" : "ITEM-1", "issue" : "August", "issued" : { "date-parts" : [ [ "2020" ] ] }, "page" : "100261", "publisher" : "Elsevier Ltd", "title" : "A longitudinal study of agriculture households in Indonesia: The effect of land and labor mobility on welfare and poverty dynamics", "type" : "article-journal", "volume" : "20" }, "uris" : [ "http://www.mendeley.com/documents/?uuid=b76a77f4-70d5-4c02-921c-3cc5d119d683" ] } ], "mendeley" : { "formattedCitation" : "(Moeis et al., 2020)", "plainTextFormattedCitation" : "(Moeis et al., 2020)", "previouslyFormattedCitation" : "(Moeis et al., 2020)" }, "properties" : {  }, "schema" : "https://github.com/citation-style-language/schema/raw/master/csl-citation.json" }</w:instrText>
      </w:r>
      <w:r w:rsidR="00B94BBB">
        <w:rPr>
          <w:rFonts w:ascii="Arial" w:hAnsi="Arial" w:cs="Arial"/>
          <w:lang w:val="sv-SE"/>
        </w:rPr>
        <w:fldChar w:fldCharType="separate"/>
      </w:r>
      <w:r w:rsidR="008229C3" w:rsidRPr="008229C3">
        <w:rPr>
          <w:rFonts w:ascii="Arial" w:hAnsi="Arial" w:cs="Arial"/>
          <w:noProof/>
          <w:lang w:val="sv-SE"/>
        </w:rPr>
        <w:t>(Moeis et al., 2020)</w:t>
      </w:r>
      <w:r w:rsidR="00B94BBB">
        <w:rPr>
          <w:rFonts w:ascii="Arial" w:hAnsi="Arial" w:cs="Arial"/>
          <w:lang w:val="sv-SE"/>
        </w:rPr>
        <w:fldChar w:fldCharType="end"/>
      </w:r>
      <w:r w:rsidR="00D62AD4">
        <w:rPr>
          <w:rFonts w:ascii="Arial" w:hAnsi="Arial" w:cs="Arial"/>
          <w:lang w:val="sv-SE"/>
        </w:rPr>
        <w:t>.</w:t>
      </w:r>
    </w:p>
    <w:p w:rsidR="00206D8A" w:rsidRDefault="00206D8A" w:rsidP="007A56D8">
      <w:pPr>
        <w:spacing w:after="0" w:line="240" w:lineRule="auto"/>
        <w:ind w:firstLine="709"/>
        <w:jc w:val="both"/>
        <w:rPr>
          <w:rFonts w:ascii="Arial" w:hAnsi="Arial" w:cs="Arial"/>
          <w:lang w:val="sv-SE"/>
        </w:rPr>
      </w:pPr>
      <w:r>
        <w:rPr>
          <w:rFonts w:ascii="Arial" w:hAnsi="Arial" w:cs="Arial"/>
          <w:lang w:val="sv-SE"/>
        </w:rPr>
        <w:t>Pada keterbatasan pendapatan, keluarga petani harus mampu mengalokasikan pendapatan untuk pemenuhan konsumsi. Apakah ini mencukupi kebutuhan paling primer yakni konsumsi pangan? Bagaimana dengan ketahanan pangan keluarga petani marjinal ini?</w:t>
      </w:r>
    </w:p>
    <w:p w:rsidR="000E2881" w:rsidRDefault="000E2881" w:rsidP="000E2881">
      <w:pPr>
        <w:spacing w:after="0" w:line="240" w:lineRule="auto"/>
        <w:ind w:firstLine="709"/>
        <w:jc w:val="both"/>
        <w:rPr>
          <w:rFonts w:ascii="Arial" w:hAnsi="Arial" w:cs="Arial"/>
          <w:lang w:val="sv-SE"/>
        </w:rPr>
      </w:pPr>
      <w:r>
        <w:rPr>
          <w:rFonts w:ascii="Arial" w:hAnsi="Arial" w:cs="Arial"/>
          <w:lang w:val="sv-SE"/>
        </w:rPr>
        <w:t xml:space="preserve">Beberapa penelitian menunjukkan bahwa keluarga petani dengan pendapatan rendah menopang ketahanan pangan dengan tanaman yang dikonsumsi sendiri, baik pada petani urban </w:t>
      </w:r>
      <w:r w:rsidR="00B94BBB" w:rsidRPr="000D0B8F">
        <w:rPr>
          <w:rFonts w:ascii="Arial" w:hAnsi="Arial" w:cs="Arial"/>
          <w:lang w:val="sv-SE"/>
        </w:rPr>
        <w:fldChar w:fldCharType="begin" w:fldLock="1"/>
      </w:r>
      <w:r w:rsidRPr="000D0B8F">
        <w:rPr>
          <w:rFonts w:ascii="Arial" w:hAnsi="Arial" w:cs="Arial"/>
          <w:lang w:val="sv-SE"/>
        </w:rPr>
        <w:instrText>ADDIN CSL_CITATION { "citationItems" : [ { "id" : "ITEM-1", "itemData" : { "DOI" : "10.3390/su11051378", "ISSN" : "20711050", "abstract" : "As growing populations in urban areas demand greater food supplies, the poor-particularly poor migrants-may be at higher risk for food insecurity. Evidence suggests that the urban poor who pursue agriculture in the city as a livelihood are more food secure. Thus, it could be assumed that migrants involved in urban agriculture are also in a better position to meet nutritional needs. The aim of this research was to explore household food security among migrant urban farmers using data from studies conducted in three rapidly urbanizing cities: Delhi, India; Jakarta, Indonesia; and, Quito, Ecuador. Surveys and semi-structured interviews were conducted with market-oriented small-to-medium scale farmers in each city to understand livelihood and migrant status, household food consumption patterns, and food security. In general, we found that participation in urban agriculture had a positive impact on household food security among participants through direct (self-consumption) and indirect (improved income, improved access) means. Although each case city expressed a different form of low-income migrant practice of urban agriculture, findings suggest that growing food in the city offers some protection against food insecurity through improved quantity, quality, and diversity of food options. This study is particularly relevant in the context of the Sustainable Development Goals (SDGs) to end hunger, achieve food security and improved nutrition, and promote sustainable agriculture. These factors guide development goals and priorities. Given that rural-urban migrant trends are predicted to continue, this exploratory study offers empirical evidence related to rural-urban migrants, food security, and urban agriculture.", "author" : [ { "dropping-particle" : "", "family" : "Diehl", "given" : "Jessica Ann", "non-dropping-particle" : "", "parse-names" : false, "suffix" : "" }, { "dropping-particle" : "", "family" : "Oviatt", "given" : "Kate", "non-dropping-particle" : "", "parse-names" : false, "suffix" : "" }, { "dropping-particle" : "", "family" : "Chandra", "given" : "Amanda Jennifer", "non-dropping-particle" : "", "parse-names" : false, "suffix" : "" }, { "dropping-particle" : "", "family" : "Kaur", "given" : "Harpreet", "non-dropping-particle" : "", "parse-names" : false, "suffix" : "" } ], "container-title" : "Sustainability (Switzerland)", "id" : "ITEM-1", "issue" : "5", "issued" : { "date-parts" : [ [ "2019" ] ] }, "page" : "1-18", "title" : "Household food consumption patterns and food security among low-income migrant urban farmers in Delhi, Jakarta, and Quito", "type" : "article-journal", "volume" : "11" }, "uris" : [ "http://www.mendeley.com/documents/?uuid=426f26ce-2a0e-46d6-bc84-4805f60b859c" ] } ], "mendeley" : { "formattedCitation" : "(Diehl, Oviatt, Chandra, &amp; Kaur, 2019)", "plainTextFormattedCitation" : "(Diehl, Oviatt, Chandra, &amp; Kaur, 2019)", "previouslyFormattedCitation" : "(Diehl, Oviatt, Chandra, &amp; Kaur, 2019)" }, "properties" : {  }, "schema" : "https://github.com/citation-style-language/schema/raw/master/csl-citation.json" }</w:instrText>
      </w:r>
      <w:r w:rsidR="00B94BBB" w:rsidRPr="000D0B8F">
        <w:rPr>
          <w:rFonts w:ascii="Arial" w:hAnsi="Arial" w:cs="Arial"/>
          <w:lang w:val="sv-SE"/>
        </w:rPr>
        <w:fldChar w:fldCharType="separate"/>
      </w:r>
      <w:r w:rsidRPr="000D0B8F">
        <w:rPr>
          <w:rFonts w:ascii="Arial" w:hAnsi="Arial" w:cs="Arial"/>
          <w:noProof/>
          <w:lang w:val="sv-SE"/>
        </w:rPr>
        <w:t>(Diehl, Oviatt, Chandra, &amp; Kaur, 2019)</w:t>
      </w:r>
      <w:r w:rsidR="00B94BBB" w:rsidRPr="000D0B8F">
        <w:rPr>
          <w:rFonts w:ascii="Arial" w:hAnsi="Arial" w:cs="Arial"/>
          <w:lang w:val="sv-SE"/>
        </w:rPr>
        <w:fldChar w:fldCharType="end"/>
      </w:r>
      <w:r w:rsidRPr="000D0B8F">
        <w:rPr>
          <w:rFonts w:ascii="Arial" w:hAnsi="Arial" w:cs="Arial"/>
          <w:lang w:val="sv-SE"/>
        </w:rPr>
        <w:t xml:space="preserve"> maupun pada petani lahan yang sangat sempit </w:t>
      </w:r>
      <w:r w:rsidR="00B94BBB" w:rsidRPr="000D0B8F">
        <w:rPr>
          <w:rFonts w:ascii="Arial" w:hAnsi="Arial" w:cs="Arial"/>
          <w:lang w:val="sv-SE"/>
        </w:rPr>
        <w:fldChar w:fldCharType="begin" w:fldLock="1"/>
      </w:r>
      <w:r w:rsidRPr="000D0B8F">
        <w:rPr>
          <w:rFonts w:ascii="Arial" w:hAnsi="Arial" w:cs="Arial"/>
          <w:lang w:val="sv-SE"/>
        </w:rPr>
        <w:instrText>ADDIN CSL_CITATION { "citationItems" : [ { "id" : "ITEM-1", "itemData" : { "DOI" : "10.1016/j.wdp.2020.100261", "ISSN" : "24522929", "abstract" : "The conventional wisdom of Arthur Lewis's dual sector model says that households in the agricultural (traditional) sector who can move out to a non-agricultural (modern) sector will become better off. We then scrutinize the last three waves of the Indonesia Family Life Survey (IFLS) to analyze the existence of the dual theorem. Our study uses Difference in Difference (DiD) regressions and ordered logit regressions to confirm that moving out of agriculture sectors has significantly increased the welfare of poor agricultural households, especially in the period of 2000\u20132007, but this is not the case of 2007\u20132014. Movement out of agricultural sectors decreases the probability of being always poor by 13.5 percentage points. However, when the economy transforms into a more advanced economy, simply moving out of agriculture does not guarantee that farmers, especially landless farmers, will become better off. Welfare improvement requires a shifting to formal non-agricultural sectors, but unfortunately farmers might not be readily equipped with the skills required in formal sectors. Our study also obviously confirms that farmland is an important asset for agricultural households. Agricultural households experiencing a decrease of agricultural land also decreased their expenditure per capita by IDR 36,833 in 2000 and IDR 68,683 in 2007. These findings suggest that, currently, moving out of agriculture is not the solution to improve the well-being of farmers. Keeping farmland ownership, raising investment in human capital, and the modernization of agriculture should be the main concerns in agricultural development.", "author" : [ { "dropping-particle" : "", "family" : "Moeis", "given" : "Faizal Rahmanto", "non-dropping-particle" : "", "parse-names" : false, "suffix" : "" }, { "dropping-particle" : "", "family" : "Dartanto", "given" : "Teguh", "non-dropping-particle" : "", "parse-names" : false, "suffix" : "" }, { "dropping-particle" : "", "family" : "Moeis", "given" : "Jossy Prananta", "non-dropping-particle" : "", "parse-names" : false, "suffix" : "" }, { "dropping-particle" : "", "family" : "Ikhsan", "given" : "Mohamad", "non-dropping-particle" : "", "parse-names" : false, "suffix" : "" } ], "container-title" : "World Development Perspectives", "id" : "ITEM-1", "issue" : "August", "issued" : { "date-parts" : [ [ "2020" ] ] }, "page" : "100261", "publisher" : "Elsevier Ltd", "title" : "A longitudinal study of agriculture households in Indonesia: The effect of land and labor mobility on welfare and poverty dynamics", "type" : "article-journal", "volume" : "20" }, "uris" : [ "http://www.mendeley.com/documents/?uuid=b76a77f4-70d5-4c02-921c-3cc5d119d683" ] } ], "mendeley" : { "formattedCitation" : "(Moeis et al., 2020)", "plainTextFormattedCitation" : "(Moeis et al., 2020)", "previouslyFormattedCitation" : "(Moeis et al., 2020)" }, "properties" : {  }, "schema" : "https://github.com/citation-style-language/schema/raw/master/csl-citation.json" }</w:instrText>
      </w:r>
      <w:r w:rsidR="00B94BBB" w:rsidRPr="000D0B8F">
        <w:rPr>
          <w:rFonts w:ascii="Arial" w:hAnsi="Arial" w:cs="Arial"/>
          <w:lang w:val="sv-SE"/>
        </w:rPr>
        <w:fldChar w:fldCharType="separate"/>
      </w:r>
      <w:r w:rsidRPr="000D0B8F">
        <w:rPr>
          <w:rFonts w:ascii="Arial" w:hAnsi="Arial" w:cs="Arial"/>
          <w:noProof/>
          <w:lang w:val="sv-SE"/>
        </w:rPr>
        <w:t>(Moeis et al., 2020)</w:t>
      </w:r>
      <w:r w:rsidR="00B94BBB" w:rsidRPr="000D0B8F">
        <w:rPr>
          <w:rFonts w:ascii="Arial" w:hAnsi="Arial" w:cs="Arial"/>
          <w:lang w:val="sv-SE"/>
        </w:rPr>
        <w:fldChar w:fldCharType="end"/>
      </w:r>
      <w:r w:rsidRPr="000D0B8F">
        <w:rPr>
          <w:rFonts w:ascii="Arial" w:hAnsi="Arial" w:cs="Arial"/>
          <w:lang w:val="sv-SE"/>
        </w:rPr>
        <w:t xml:space="preserve">. </w:t>
      </w:r>
      <w:r w:rsidR="000D0B8F" w:rsidRPr="000D0B8F">
        <w:rPr>
          <w:rFonts w:ascii="Arial" w:hAnsi="Arial" w:cs="Arial"/>
          <w:lang w:val="sv-SE"/>
        </w:rPr>
        <w:t>Keluarga petani berusaha mencukupkan terutama konsumsi pangan dari pendapatan mereka yang rendah.</w:t>
      </w:r>
      <w:r w:rsidR="000D0B8F">
        <w:rPr>
          <w:rFonts w:ascii="Arial" w:hAnsi="Arial" w:cs="Arial"/>
          <w:lang w:val="sv-SE"/>
        </w:rPr>
        <w:t xml:space="preserve"> </w:t>
      </w:r>
    </w:p>
    <w:p w:rsidR="00CA5492" w:rsidRDefault="00CA5492" w:rsidP="00CA5492">
      <w:pPr>
        <w:spacing w:after="0" w:line="240" w:lineRule="auto"/>
        <w:ind w:firstLine="709"/>
        <w:jc w:val="both"/>
        <w:rPr>
          <w:rFonts w:ascii="Arial" w:hAnsi="Arial" w:cs="Arial"/>
          <w:lang w:val="sv-SE"/>
        </w:rPr>
      </w:pPr>
      <w:r>
        <w:rPr>
          <w:rFonts w:ascii="Arial" w:hAnsi="Arial" w:cs="Arial"/>
          <w:lang w:val="sv-SE"/>
        </w:rPr>
        <w:t xml:space="preserve">Rumahtangga yang rawan pangan memprioritaskan kebutuhan primer seperti kebutuhan pangan sebagai prioritas utama </w:t>
      </w:r>
      <w:r w:rsidR="00B94BBB">
        <w:rPr>
          <w:rFonts w:ascii="Arial" w:hAnsi="Arial" w:cs="Arial"/>
          <w:lang w:val="sv-SE"/>
        </w:rPr>
        <w:fldChar w:fldCharType="begin" w:fldLock="1"/>
      </w:r>
      <w:r>
        <w:rPr>
          <w:rFonts w:ascii="Arial" w:hAnsi="Arial" w:cs="Arial"/>
          <w:lang w:val="sv-SE"/>
        </w:rPr>
        <w:instrText>ADDIN CSL_CITATION { "citationItems" : [ { "id" : "ITEM-1", "itemData" : { "DOI" : "10.1017/S1368980018000472", "ISSN" : "10601503", "PMID" : "29560852", "abstract" : "Objective Food insecurity is a potent determinant of health and indicator of material deprivation in many affluent countries. Food insecurity is associated with compromises in food and housing expenditures, but how it relates to other expenditures is unknown. The present study described households' resource allocation over a 12-month period by food insecurity status.Design Expenditure data from the 2010 Survey of Household Spending were aggregated into four categories (basic needs, other necessities, discretionary, investments/assets) and ten sub-categories (food, clothing, housing, transportation, household/personal care, health/education, leisure, miscellaneous, personal insurance/pension, durables/assets). A four-level food insecurity status was created using the adult-specific items of the Household Food Security Survey Module. Mean dollars spent and budget share by food insecurity status were estimated with generalized linear models adjusted first for household size and composition, and subsequently for after-tax income quartiles.Setting Canada.Subjects Population-based sample of households from the ten provinces (n 9050).Results Food-secure households had higher mean total expenditures than marginally, moderately and severely food-insecure households (P-trend &lt;0\u00b70001). As severity of food insecurity increased, households spent less on all categories and sub-categories, except transportation, but they allocated a larger budget share to basic needs and smaller shares to discretionary spending and investments/assets. The downward trends for dollars spent on basic needs and other necessities became non-significant after accounting for income, but the upward trend in the budget shares for basic needs persisted.Conclusions The spending patterns of food-insecure households suggest that they prioritized essential needs above all else.", "author" : [ { "dropping-particle" : "", "family" : "Fafard St-Germain", "given" : "Andr\u00e9e Anne", "non-dropping-particle" : "", "parse-names" : false, "suffix" : "" }, { "dropping-particle" : "", "family" : "Tarasuk", "given" : "Valerie", "non-dropping-particle" : "", "parse-names" : false, "suffix" : "" } ], "container-title" : "Victorian Literature and Culture", "id" : "ITEM-1", "issue" : "11", "issued" : { "date-parts" : [ [ "2018" ] ] }, "page" : "2065-2078", "title" : "Prioritization of the essentials in the spending patterns of canadian households experiencing food insecurity", "type" : "article-journal", "volume" : "21" }, "uris" : [ "http://www.mendeley.com/documents/?uuid=87080011-d207-4467-9ea5-6804d933ebbc" ] } ], "mendeley" : { "formattedCitation" : "(Fafard St-Germain &amp; Tarasuk, 2018)", "plainTextFormattedCitation" : "(Fafard St-Germain &amp; Tarasuk, 2018)", "previouslyFormattedCitation" : "(Fafard St-Germain &amp; Tarasuk, 2018)" }, "properties" : {  }, "schema" : "https://github.com/citation-style-language/schema/raw/master/csl-citation.json" }</w:instrText>
      </w:r>
      <w:r w:rsidR="00B94BBB">
        <w:rPr>
          <w:rFonts w:ascii="Arial" w:hAnsi="Arial" w:cs="Arial"/>
          <w:lang w:val="sv-SE"/>
        </w:rPr>
        <w:fldChar w:fldCharType="separate"/>
      </w:r>
      <w:r w:rsidRPr="00991778">
        <w:rPr>
          <w:rFonts w:ascii="Arial" w:hAnsi="Arial" w:cs="Arial"/>
          <w:noProof/>
          <w:lang w:val="sv-SE"/>
        </w:rPr>
        <w:t xml:space="preserve">(Fafard St-Germain &amp; </w:t>
      </w:r>
      <w:r w:rsidRPr="00991778">
        <w:rPr>
          <w:rFonts w:ascii="Arial" w:hAnsi="Arial" w:cs="Arial"/>
          <w:noProof/>
          <w:lang w:val="sv-SE"/>
        </w:rPr>
        <w:lastRenderedPageBreak/>
        <w:t>Tarasuk, 2018)</w:t>
      </w:r>
      <w:r w:rsidR="00B94BBB">
        <w:rPr>
          <w:rFonts w:ascii="Arial" w:hAnsi="Arial" w:cs="Arial"/>
          <w:lang w:val="sv-SE"/>
        </w:rPr>
        <w:fldChar w:fldCharType="end"/>
      </w:r>
      <w:r>
        <w:rPr>
          <w:rFonts w:ascii="Arial" w:hAnsi="Arial" w:cs="Arial"/>
          <w:lang w:val="sv-SE"/>
        </w:rPr>
        <w:t xml:space="preserve">. Bahkan di Amerika sekalipun, rumahtangga berpenghasilan rendah menghabiskan </w:t>
      </w:r>
      <w:r w:rsidR="006E75DC">
        <w:rPr>
          <w:rFonts w:ascii="Arial" w:hAnsi="Arial" w:cs="Arial"/>
          <w:lang w:val="sv-SE"/>
        </w:rPr>
        <w:t>proporsi</w:t>
      </w:r>
      <w:r>
        <w:rPr>
          <w:rFonts w:ascii="Arial" w:hAnsi="Arial" w:cs="Arial"/>
          <w:lang w:val="sv-SE"/>
        </w:rPr>
        <w:t xml:space="preserve"> besar dari anggaran mereka untuk makanan </w:t>
      </w:r>
      <w:r w:rsidR="00B94BBB">
        <w:rPr>
          <w:rFonts w:ascii="Arial" w:hAnsi="Arial" w:cs="Arial"/>
          <w:lang w:val="sv-SE"/>
        </w:rPr>
        <w:fldChar w:fldCharType="begin" w:fldLock="1"/>
      </w:r>
      <w:r>
        <w:rPr>
          <w:rFonts w:ascii="Arial" w:hAnsi="Arial" w:cs="Arial"/>
          <w:lang w:val="sv-SE"/>
        </w:rPr>
        <w:instrText>ADDIN CSL_CITATION { "citationItems" : [ { "id" : "ITEM-1", "itemData" : { "DOI" : "10.1111/joca.12273", "ISSN" : "17456606", "abstract" : "This study examined the budget allocation patterns of U.S. households during the period 2000\u20132015. Four household groups\u2014classified based on their income levels in relation to the federal poverty level\u2014are used for the analyses. Data from the quarterly interview component of the BLS Consumer Expenditure Survey were used in order to calculate households' annual expenditures in eight commodity groups: food, utilities, apparel and apparel services, transportation, medical care, shelter and household operations, other nondurable expenditures and services, and durable goods. An exact affine stone index (EASI) demand system was used to estimate demand relationships (i.e., price, income elasticities, and marginal effects). Overall, we find that budget allocation, consumers' responses to changes in prices and income, and the effects of sociodemographic characteristics on spending can be markedly different between income groups. The use of a representative or average household for demand analyses can mask substantial differences in economic behaviors between these four income groups.", "author" : [ { "dropping-particle" : "", "family" : "Boonsaeng", "given" : "Tullaya", "non-dropping-particle" : "", "parse-names" : false, "suffix" : "" }, { "dropping-particle" : "", "family" : "Carpio", "given" : "Carlos E.", "non-dropping-particle" : "", "parse-names" : false, "suffix" : "" } ], "container-title" : "Journal of Consumer Affairs", "id" : "ITEM-1", "issue" : "1", "issued" : { "date-parts" : [ [ "2019" ] ] }, "page" : "342-387", "title" : "Budget Allocation Patterns of U.S. Households across Income Levels in the 21st Century", "type" : "article-journal", "volume" : "54" }, "uris" : [ "http://www.mendeley.com/documents/?uuid=541307e7-37bf-4704-9838-b9039682b673" ] } ], "mendeley" : { "formattedCitation" : "(Boonsaeng &amp; Carpio, 2019)", "plainTextFormattedCitation" : "(Boonsaeng &amp; Carpio, 2019)", "previouslyFormattedCitation" : "(Boonsaeng &amp; Carpio, 2019)" }, "properties" : {  }, "schema" : "https://github.com/citation-style-language/schema/raw/master/csl-citation.json" }</w:instrText>
      </w:r>
      <w:r w:rsidR="00B94BBB">
        <w:rPr>
          <w:rFonts w:ascii="Arial" w:hAnsi="Arial" w:cs="Arial"/>
          <w:lang w:val="sv-SE"/>
        </w:rPr>
        <w:fldChar w:fldCharType="separate"/>
      </w:r>
      <w:r w:rsidRPr="00C8415E">
        <w:rPr>
          <w:rFonts w:ascii="Arial" w:hAnsi="Arial" w:cs="Arial"/>
          <w:noProof/>
          <w:lang w:val="sv-SE"/>
        </w:rPr>
        <w:t>(Boonsaeng &amp; Carpio, 2019)</w:t>
      </w:r>
      <w:r w:rsidR="00B94BBB">
        <w:rPr>
          <w:rFonts w:ascii="Arial" w:hAnsi="Arial" w:cs="Arial"/>
          <w:lang w:val="sv-SE"/>
        </w:rPr>
        <w:fldChar w:fldCharType="end"/>
      </w:r>
      <w:r>
        <w:rPr>
          <w:rFonts w:ascii="Arial" w:hAnsi="Arial" w:cs="Arial"/>
          <w:lang w:val="sv-SE"/>
        </w:rPr>
        <w:t>.</w:t>
      </w:r>
    </w:p>
    <w:p w:rsidR="00900D4A" w:rsidRPr="00A66DA4" w:rsidRDefault="00A66DA4" w:rsidP="00A66DA4">
      <w:pPr>
        <w:spacing w:after="0" w:line="240" w:lineRule="auto"/>
        <w:ind w:firstLine="709"/>
        <w:jc w:val="both"/>
        <w:rPr>
          <w:rFonts w:ascii="Arial" w:hAnsi="Arial" w:cs="Arial"/>
          <w:lang w:val="sv-SE"/>
        </w:rPr>
      </w:pPr>
      <w:r>
        <w:rPr>
          <w:rFonts w:ascii="Arial" w:hAnsi="Arial" w:cs="Arial"/>
          <w:lang w:val="sv-SE"/>
        </w:rPr>
        <w:t>Kemampuan rumah</w:t>
      </w:r>
      <w:r w:rsidR="00327AC2">
        <w:rPr>
          <w:rFonts w:ascii="Arial" w:hAnsi="Arial" w:cs="Arial"/>
          <w:lang w:val="sv-SE"/>
        </w:rPr>
        <w:t xml:space="preserve">tangga petani dalam mencukupi kebutuhan pangan adalah strategi adaptasi konsumsi makanan yang diterapkan selama musim paceklik </w:t>
      </w:r>
      <w:r w:rsidR="00B94BBB">
        <w:rPr>
          <w:rFonts w:ascii="Arial" w:hAnsi="Arial" w:cs="Arial"/>
          <w:lang w:val="sv-SE"/>
        </w:rPr>
        <w:fldChar w:fldCharType="begin" w:fldLock="1"/>
      </w:r>
      <w:r w:rsidR="00327AC2">
        <w:rPr>
          <w:rFonts w:ascii="Arial" w:hAnsi="Arial" w:cs="Arial"/>
          <w:lang w:val="sv-SE"/>
        </w:rPr>
        <w:instrText>ADDIN CSL_CITATION { "citationItems" : [ { "id" : "ITEM-1", "itemData" : { "DOI" : "10.3934/agrfood.2020.1.30", "ISSN" : "24712086", "abstract" : "Dryland farmer households in food-insecure areas are faced with an unfavorable situation infertile agricultural land, low rainfall, lack of production activity and very limited infrastructure. On the other hand, their needs for food consumption must be fulfilled for a healthy, productive and sustainable life. The purpose of this study is to determine the ability of farmer households to achieve food security in food-insecure areas. This study uses primary data obtained from dryland farmer households by snowball sampling. The ability of dryland farmer households in terms of food availability, access to food, food utilization, energy adequacy rate, protein adequacy rate, the ratio of food expenditure and total expenditure. The households commonly consume local food with the amount of energy and protein sufficiency less than the recommended amount. The food consumption adaptation strategy is applied during the off-season and/or when food stock is running low.", "author" : [ { "dropping-particle" : "", "family" : "Riptanti", "given" : "Erlyna Wida", "non-dropping-particle" : "", "parse-names" : false, "suffix" : "" }, { "dropping-particle" : "", "family" : "Masyhuri", "given" : "Masyhuri", "non-dropping-particle" : "", "parse-names" : false, "suffix" : "" }, { "dropping-particle" : "", "family" : "Irham", "given" : "Irham", "non-dropping-particle" : "", "parse-names" : false, "suffix" : "" }, { "dropping-particle" : "", "family" : "Suryantini", "given" : "Any", "non-dropping-particle" : "", "parse-names" : false, "suffix" : "" } ], "container-title" : "AIMS Agriculture and Food", "id" : "ITEM-1", "issue" : "1", "issued" : { "date-parts" : [ [ "2020" ] ] }, "page" : "30-45", "title" : "The ability of dryland farmer households in achieving food security in food-insecure area of East Nusa Tenggara, Indonesia", "type" : "article-journal", "volume" : "5" }, "uris" : [ "http://www.mendeley.com/documents/?uuid=cb45b533-87ad-4d90-b70e-7dfb39670edf" ] } ], "mendeley" : { "formattedCitation" : "(Riptanti, Masyhuri, Irham, &amp; Suryantini, 2020)", "plainTextFormattedCitation" : "(Riptanti, Masyhuri, Irham, &amp; Suryantini, 2020)", "previouslyFormattedCitation" : "(Riptanti, Masyhuri, Irham, &amp; Suryantini, 2020)" }, "properties" : {  }, "schema" : "https://github.com/citation-style-language/schema/raw/master/csl-citation.json" }</w:instrText>
      </w:r>
      <w:r w:rsidR="00B94BBB">
        <w:rPr>
          <w:rFonts w:ascii="Arial" w:hAnsi="Arial" w:cs="Arial"/>
          <w:lang w:val="sv-SE"/>
        </w:rPr>
        <w:fldChar w:fldCharType="separate"/>
      </w:r>
      <w:r w:rsidR="00327AC2" w:rsidRPr="00900D4A">
        <w:rPr>
          <w:rFonts w:ascii="Arial" w:hAnsi="Arial" w:cs="Arial"/>
          <w:noProof/>
          <w:lang w:val="sv-SE"/>
        </w:rPr>
        <w:t>(Riptanti, Masyhuri, Irham, &amp; Suryantini, 2020)</w:t>
      </w:r>
      <w:r w:rsidR="00B94BBB">
        <w:rPr>
          <w:rFonts w:ascii="Arial" w:hAnsi="Arial" w:cs="Arial"/>
          <w:lang w:val="sv-SE"/>
        </w:rPr>
        <w:fldChar w:fldCharType="end"/>
      </w:r>
      <w:r w:rsidR="00327AC2">
        <w:rPr>
          <w:rFonts w:ascii="Arial" w:hAnsi="Arial" w:cs="Arial"/>
          <w:lang w:val="sv-SE"/>
        </w:rPr>
        <w:t xml:space="preserve">. </w:t>
      </w:r>
      <w:r>
        <w:rPr>
          <w:rFonts w:ascii="Arial" w:hAnsi="Arial" w:cs="Arial"/>
          <w:lang w:val="en-US"/>
        </w:rPr>
        <w:t>B</w:t>
      </w:r>
      <w:r w:rsidR="00CA4DE6">
        <w:rPr>
          <w:rFonts w:ascii="Arial" w:hAnsi="Arial" w:cs="Arial"/>
          <w:lang w:val="en-US"/>
        </w:rPr>
        <w:t xml:space="preserve">eras masih merupakan kebutuhan pangan yang paling diprioritaskan pada masyarakat Indonesia </w:t>
      </w:r>
      <w:r w:rsidR="00B94BBB">
        <w:rPr>
          <w:rFonts w:ascii="Arial" w:hAnsi="Arial" w:cs="Arial"/>
          <w:lang w:val="en-US"/>
        </w:rPr>
        <w:fldChar w:fldCharType="begin" w:fldLock="1"/>
      </w:r>
      <w:r w:rsidR="006E75DC">
        <w:rPr>
          <w:rFonts w:ascii="Arial" w:hAnsi="Arial" w:cs="Arial"/>
          <w:lang w:val="en-US"/>
        </w:rPr>
        <w:instrText>ADDIN CSL_CITATION { "citationItems" : [ { "id" : "ITEM-1", "itemData" : { "DOI" : "10.21107/agriekonomika.v9i1.6962", "ISSN" : "2301-9948", "abstract" : "The purpose of the study was to analyze the role of rice\u2019s price in household consumption patterns in Indonesia. The method used was the Quadratic Almost Ideal Demand System (QUAIDS). The data used were obtained from the National Social Economy Survey in 2016. The results show that when the price of rice increases by one percent, the demand for other carbohydrates, eggs-milk-beans, fruits also Cigarette and processed foods will be increase. Meanwhile, in other groups, when the price of rice rises, the demand will go down. Thus, it can be concluded that households still prioritize rice consumption in their daily consumption patterns compared to other commodity groups. Therefore, the government should develop policies that encourage people to consume more diverse food groups.", "author" : [ { "dropping-particle" : "", "family" : "Hafizah", "given" : "Dian", "non-dropping-particle" : "", "parse-names" : false, "suffix" : "" }, { "dropping-particle" : "", "family" : "Hakim", "given" : "Dedi Budiman", "non-dropping-particle" : "", "parse-names" : false, "suffix" : "" }, { "dropping-particle" : "", "family" : "Harianto", "given" : "Harianto", "non-dropping-particle" : "", "parse-names" : false, "suffix" : "" }, { "dropping-particle" : "", "family" : "Nurmalina", "given" : "Rita", "non-dropping-particle" : "", "parse-names" : false, "suffix" : "" } ], "container-title" : "Agriekonomika", "id" : "ITEM-1", "issue" : "1", "issued" : { "date-parts" : [ [ "2020" ] ] }, "page" : "38-47", "title" : "The Role of Rice\u2019s Price in the Household Consumption in Indonesia", "type" : "article-journal", "volume" : "9" }, "uris" : [ "http://www.mendeley.com/documents/?uuid=dfbc21c5-c915-46ed-863c-434e6c2a95d6" ] }, { "id" : "ITEM-2", "itemData" : { "DOI" : "10.3390/su12229550", "ISSN" : "20711050", "abstract" : "Urbanization has become a global phenomenon that affects the food system. Some studies revealed that urbanization increases income/capita, thus transforming food consumption from cereals to animal products, vegetables, and fruits. Urbanization, particularly in developing countries, not only produces economic benefits but also various issues that might lessen peoples\u2019 capacity to afford food. This study aims to analyze the impact of urbanization on food consumption, food composition, as well as farming performance. Series of consumption data since 1976 and statistical descriptive approaches were employed. The results showed a trend of declining the share of food expenditures, especially in urban areas, which is commonly regarded as a sign of increasing prosperity. Surprisingly, food composition remained stable, dominated by rice, due to lower-income and higher non-food expenditures of urban inhabitants mainly for housing, transportation, water and energy. The stagnancy of food composition provides less incentive for farmers; thus, farming is dominated by low-revenue paddy fields, uneducated laborers, and older farmers. Based on these findings, some recommendations can be suggested: (1) incorporating food composition and farming performance into food security policies, instead of merely focusing on the compliance of food supply and demand, (2) linking food issues with non-food issues, especially with urban planning, housing development, and transportation management to increase the income capacity of the society to purchase a greater variety of food, and (3) developing food diversification served by urban food vendors to support the benefits of the farming business.", "author" : [ { "dropping-particle" : "", "family" : "Putra", "given" : "Andi Syah", "non-dropping-particle" : "", "parse-names" : false, "suffix" : "" }, { "dropping-particle" : "", "family" : "Tong", "given" : "Guangji", "non-dropping-particle" : "", "parse-names" : false, "suffix" : "" }, { "dropping-particle" : "", "family" : "Pribadi", "given" : "Didit Okta", "non-dropping-particle" : "", "parse-names" : false, "suffix" : "" } ], "container-title" : "Sustainability (Switzerland)", "id" : "ITEM-2", "issue" : "22", "issued" : { "date-parts" : [ [ "2020" ] ] }, "page" : "1-18", "title" : "Food security challenges in rapidly urbanizing developing countries: Insight from Indonesia", "type" : "article-journal", "volume" : "12" }, "uris" : [ "http://www.mendeley.com/documents/?uuid=08bd7a00-e897-40f0-a934-b24e15f96ab4" ] } ], "mendeley" : { "formattedCitation" : "(Hafizah, Hakim, Harianto, &amp; Nurmalina, 2020; Putra, Tong, &amp; Pribadi, 2020)", "plainTextFormattedCitation" : "(Hafizah, Hakim, Harianto, &amp; Nurmalina, 2020; Putra, Tong, &amp; Pribadi, 2020)", "previouslyFormattedCitation" : "(Hafizah, Hakim, Harianto, &amp; Nurmalina, 2020; Putra, Tong, &amp; Pribadi, 2020)" }, "properties" : {  }, "schema" : "https://github.com/citation-style-language/schema/raw/master/csl-citation.json" }</w:instrText>
      </w:r>
      <w:r w:rsidR="00B94BBB">
        <w:rPr>
          <w:rFonts w:ascii="Arial" w:hAnsi="Arial" w:cs="Arial"/>
          <w:lang w:val="en-US"/>
        </w:rPr>
        <w:fldChar w:fldCharType="separate"/>
      </w:r>
      <w:r w:rsidRPr="00A66DA4">
        <w:rPr>
          <w:rFonts w:ascii="Arial" w:hAnsi="Arial" w:cs="Arial"/>
          <w:noProof/>
          <w:lang w:val="en-US"/>
        </w:rPr>
        <w:t>(Hafizah, Hakim, Harianto, &amp; Nurmalina, 2020; Putra, Tong, &amp; Pribadi, 2020)</w:t>
      </w:r>
      <w:r w:rsidR="00B94BBB">
        <w:rPr>
          <w:rFonts w:ascii="Arial" w:hAnsi="Arial" w:cs="Arial"/>
          <w:lang w:val="en-US"/>
        </w:rPr>
        <w:fldChar w:fldCharType="end"/>
      </w:r>
      <w:r w:rsidR="00CA4DE6">
        <w:rPr>
          <w:rFonts w:ascii="Arial" w:hAnsi="Arial" w:cs="Arial"/>
          <w:lang w:val="en-US"/>
        </w:rPr>
        <w:t xml:space="preserve">, meskipun pada kondisi pendapatan yang sangat terbatas yang penting rumahtangga mampu membeli beras. </w:t>
      </w:r>
      <w:r w:rsidR="00900D4A">
        <w:rPr>
          <w:rFonts w:ascii="Arial" w:hAnsi="Arial" w:cs="Arial"/>
          <w:lang w:val="en-US"/>
        </w:rPr>
        <w:t xml:space="preserve">Proporsi belanja konsumsi </w:t>
      </w:r>
      <w:r w:rsidR="003B0159">
        <w:rPr>
          <w:rFonts w:ascii="Arial" w:hAnsi="Arial" w:cs="Arial"/>
          <w:lang w:val="en-US"/>
        </w:rPr>
        <w:t>sayuran, daging, dan ikan sangat kecil pada rumahtanga</w:t>
      </w:r>
      <w:r w:rsidR="00900D4A">
        <w:rPr>
          <w:rFonts w:ascii="Arial" w:hAnsi="Arial" w:cs="Arial"/>
          <w:lang w:val="en-US"/>
        </w:rPr>
        <w:t xml:space="preserve"> miskin</w:t>
      </w:r>
      <w:r w:rsidR="003B0159">
        <w:rPr>
          <w:rFonts w:ascii="Arial" w:hAnsi="Arial" w:cs="Arial"/>
          <w:lang w:val="en-US"/>
        </w:rPr>
        <w:t xml:space="preserve">, padahal bahan pangan tersebut penting bagi kesehatan </w:t>
      </w:r>
      <w:r w:rsidR="00B94BBB">
        <w:rPr>
          <w:rFonts w:ascii="Arial" w:hAnsi="Arial" w:cs="Arial"/>
          <w:lang w:val="en-US"/>
        </w:rPr>
        <w:fldChar w:fldCharType="begin" w:fldLock="1"/>
      </w:r>
      <w:r w:rsidR="003B0159">
        <w:rPr>
          <w:rFonts w:ascii="Arial" w:hAnsi="Arial" w:cs="Arial"/>
          <w:lang w:val="en-US"/>
        </w:rPr>
        <w:instrText>ADDIN CSL_CITATION { "citationItems" : [ { "id" : "ITEM-1", "itemData" : { "DOI" : "10.18488/journal.aefr.2020.1010.1062.1076", "ISSN" : "22226737", "abstract" : "This paper aims to analyze consumption patterns of various household goods. The data used in this study was sourced from results of household surveys in the East Java and Bali Provinces in Indonesia. The analytical model used to evaluate household consumption patterns was the Engel function. Engel's function model maps the level of consumption to household income. In this study, the explanatory variables used include household expenditure levels, household characteristics and household poverty conditions. The results showed that the consumption of staple foodstuffs was relatively inelastic in terms of an increasing household expenditure. Moreover, the consumption of processed food is relatively more elastic in terms of expenditure. The study also found that poor households have a different consumption pattern in comparison to non-poor households. Poor households allocate less income to basic necessities that are important for health, such as vegetables, meat and fish. The implication is that government assistance for poor households must be accompanied by education on healthy consumption patterns.", "author" : [ { "dropping-particle" : "", "family" : "Rasyid", "given" : "Mohtar", "non-dropping-particle" : "", "parse-names" : false, "suffix" : "" }, { "dropping-particle" : "", "family" : "Kristina", "given" : "Anita", "non-dropping-particle" : "", "parse-names" : false, "suffix" : "" }, { "dropping-particle" : "", "family" : "Sutikno", "given" : "", "non-dropping-particle" : "", "parse-names" : false, "suffix" : "" }, { "dropping-particle" : "", "family" : "Sunaryati", "given" : "", "non-dropping-particle" : "", "parse-names" : false, "suffix" : "" }, { "dropping-particle" : "", "family" : "Yuliani", "given" : "Tutik", "non-dropping-particle" : "", "parse-names" : false, "suffix" : "" } ], "container-title" : "Asian Economic and Financial Review", "id" : "ITEM-1", "issue" : "10", "issued" : { "date-parts" : [ [ "2020" ] ] }, "page" : "1062-1076", "title" : "Poverty Conditions and Patterns of Consumption: An Engel Function Analysis in East Java and Bali Indonesia", "type" : "article-journal", "volume" : "10" }, "uris" : [ "http://www.mendeley.com/documents/?uuid=ad4d3057-7ec5-4162-9b79-b8ac7934103f" ] } ], "mendeley" : { "formattedCitation" : "(Rasyid, Kristina, Sutikno, Sunaryati, &amp; Yuliani, 2020)", "plainTextFormattedCitation" : "(Rasyid, Kristina, Sutikno, Sunaryati, &amp; Yuliani, 2020)", "previouslyFormattedCitation" : "(Rasyid, Kristina, Sutikno, Sunaryati, &amp; Yuliani, 2020)" }, "properties" : {  }, "schema" : "https://github.com/citation-style-language/schema/raw/master/csl-citation.json" }</w:instrText>
      </w:r>
      <w:r w:rsidR="00B94BBB">
        <w:rPr>
          <w:rFonts w:ascii="Arial" w:hAnsi="Arial" w:cs="Arial"/>
          <w:lang w:val="en-US"/>
        </w:rPr>
        <w:fldChar w:fldCharType="separate"/>
      </w:r>
      <w:r w:rsidR="003B0159" w:rsidRPr="003B0159">
        <w:rPr>
          <w:rFonts w:ascii="Arial" w:hAnsi="Arial" w:cs="Arial"/>
          <w:noProof/>
          <w:lang w:val="en-US"/>
        </w:rPr>
        <w:t>(Rasyid, Kristina, Sutikno, Sunaryati, &amp; Yuliani, 2020)</w:t>
      </w:r>
      <w:r w:rsidR="00B94BBB">
        <w:rPr>
          <w:rFonts w:ascii="Arial" w:hAnsi="Arial" w:cs="Arial"/>
          <w:lang w:val="en-US"/>
        </w:rPr>
        <w:fldChar w:fldCharType="end"/>
      </w:r>
      <w:r w:rsidR="00900D4A">
        <w:rPr>
          <w:rFonts w:ascii="Arial" w:hAnsi="Arial" w:cs="Arial"/>
          <w:lang w:val="en-US"/>
        </w:rPr>
        <w:t>.</w:t>
      </w:r>
    </w:p>
    <w:p w:rsidR="00BA1017" w:rsidRDefault="006F4595" w:rsidP="007A56D8">
      <w:pPr>
        <w:spacing w:after="0" w:line="240" w:lineRule="auto"/>
        <w:ind w:firstLine="709"/>
        <w:jc w:val="both"/>
        <w:rPr>
          <w:rFonts w:ascii="Arial" w:hAnsi="Arial" w:cs="Arial"/>
          <w:color w:val="FF0000"/>
          <w:lang w:val="sv-SE"/>
        </w:rPr>
      </w:pPr>
      <w:r>
        <w:rPr>
          <w:rFonts w:ascii="Arial" w:hAnsi="Arial" w:cs="Arial"/>
          <w:lang w:val="en-US"/>
        </w:rPr>
        <w:t xml:space="preserve">Lahan waduk untuk budidaya tanaman secara prinsip termasuk kategori lahan pasang surut atau lahan marjinal. </w:t>
      </w:r>
      <w:r w:rsidRPr="006F4595">
        <w:rPr>
          <w:rFonts w:ascii="Arial" w:hAnsi="Arial" w:cs="Arial"/>
        </w:rPr>
        <w:t xml:space="preserve">Petani lahan marjinal perlu meningkatkan pengetahuan  dan terlibat aktif </w:t>
      </w:r>
      <w:r>
        <w:rPr>
          <w:rFonts w:ascii="Arial" w:hAnsi="Arial" w:cs="Arial"/>
          <w:lang w:val="en-US"/>
        </w:rPr>
        <w:t>m</w:t>
      </w:r>
      <w:r w:rsidRPr="006F4595">
        <w:rPr>
          <w:rFonts w:ascii="Arial" w:hAnsi="Arial" w:cs="Arial"/>
        </w:rPr>
        <w:t>engadaptasi budidaya tanaman yang  tergantung pada kondisi alam yang sulit</w:t>
      </w:r>
      <w:r w:rsidR="00D6093B">
        <w:rPr>
          <w:rFonts w:ascii="Arial" w:hAnsi="Arial" w:cs="Arial"/>
          <w:lang w:val="en-US"/>
        </w:rPr>
        <w:t xml:space="preserve"> pada situasi perubahan iklim</w:t>
      </w:r>
      <w:r w:rsidRPr="006F4595">
        <w:rPr>
          <w:rFonts w:ascii="Arial" w:hAnsi="Arial" w:cs="Arial"/>
        </w:rPr>
        <w:t xml:space="preserve"> </w:t>
      </w:r>
      <w:r w:rsidR="00B94BBB">
        <w:rPr>
          <w:rFonts w:ascii="Arial" w:hAnsi="Arial" w:cs="Arial"/>
        </w:rPr>
        <w:fldChar w:fldCharType="begin" w:fldLock="1"/>
      </w:r>
      <w:r>
        <w:rPr>
          <w:rFonts w:ascii="Arial" w:hAnsi="Arial" w:cs="Arial"/>
        </w:rPr>
        <w:instrText>ADDIN CSL_CITATION { "citationItems" : [ { "id" : "ITEM-1", "itemData" : { "DOI" : "10.1111/soru.12168", "ISSN" : "14679523", "abstract" : "Contrary to a scholarly debate that anticipated a trend towards the marginalisation of agriculture in many rural areas of Europe, farmers have continued to utilise agro-economically marginal land, especially in a variety of areas in Europe's northwest. We explore why and how farmers secure the development of their farms while cultivating crops on the margins, based on qualitative empirical research in Brandenburg, Germany. By bringing together farmers\u2019 motivations and convictions with their agricultural and agronomical practices, the study identifies three farming strategies for managing farms on marginal land, focused on independence, balancing multiple aims, or optimising land productivity. We develop a concept of farming strategy as an expression of personal motivations and convictions in a coherent, targeted, long-term plan for farming. We discuss the implications of such an understanding for system-oriented, micro-sociological research and for the perpetuation of agriculture in marginalised rural areas.", "author" : [ { "dropping-particle" : "", "family" : "Preissel", "given" : "Sara", "non-dropping-particle" : "", "parse-names" : false, "suffix" : "" }, { "dropping-particle" : "", "family" : "Zander", "given" : "Peter", "non-dropping-particle" : "", "parse-names" : false, "suffix" : "" }, { "dropping-particle" : "", "family" : "Knierim", "given" : "Andrea", "non-dropping-particle" : "", "parse-names" : false, "suffix" : "" } ], "container-title" : "Sociologia Ruralis", "id" : "ITEM-1", "issue" : "November", "issued" : { "date-parts" : [ [ "2017" ] ] }, "page" : "682-708", "title" : "Sustaining Farming on Marginal Land: Farmers\u2019 Convictions, Motivations and Strategies in Northeastern Germany", "type" : "article-journal", "volume" : "57" }, "uris" : [ "http://www.mendeley.com/documents/?uuid=47ca7233-3a0f-4aac-9ad9-77e65df008a7" ] } ], "mendeley" : { "formattedCitation" : "(Preissel, Zander, &amp; Knierim, 2017)", "plainTextFormattedCitation" : "(Preissel, Zander, &amp; Knierim, 2017)", "previouslyFormattedCitation" : "(Preissel, Zander, &amp; Knierim, 2017)" }, "properties" : {  }, "schema" : "https://github.com/citation-style-language/schema/raw/master/csl-citation.json" }</w:instrText>
      </w:r>
      <w:r w:rsidR="00B94BBB">
        <w:rPr>
          <w:rFonts w:ascii="Arial" w:hAnsi="Arial" w:cs="Arial"/>
        </w:rPr>
        <w:fldChar w:fldCharType="separate"/>
      </w:r>
      <w:r w:rsidRPr="006F4595">
        <w:rPr>
          <w:rFonts w:ascii="Arial" w:hAnsi="Arial" w:cs="Arial"/>
          <w:noProof/>
        </w:rPr>
        <w:t>(Preissel, Zander, &amp; Knierim, 2017)</w:t>
      </w:r>
      <w:r w:rsidR="00B94BBB">
        <w:rPr>
          <w:rFonts w:ascii="Arial" w:hAnsi="Arial" w:cs="Arial"/>
        </w:rPr>
        <w:fldChar w:fldCharType="end"/>
      </w:r>
      <w:r>
        <w:rPr>
          <w:rFonts w:ascii="Arial" w:hAnsi="Arial" w:cs="Arial"/>
          <w:lang w:val="en-US"/>
        </w:rPr>
        <w:t>.</w:t>
      </w:r>
      <w:r w:rsidR="00D6093B">
        <w:rPr>
          <w:rFonts w:ascii="Arial" w:hAnsi="Arial" w:cs="Arial"/>
          <w:lang w:val="en-US"/>
        </w:rPr>
        <w:t xml:space="preserve"> Petani yang mampu beradaptasi terhadap perubahan iklim memiliki ketahanan pangan yang lebih baik </w:t>
      </w:r>
      <w:r w:rsidR="00B94BBB">
        <w:rPr>
          <w:rFonts w:ascii="Arial" w:hAnsi="Arial" w:cs="Arial"/>
          <w:lang w:val="en-US"/>
        </w:rPr>
        <w:fldChar w:fldCharType="begin" w:fldLock="1"/>
      </w:r>
      <w:r w:rsidR="00A66DA4">
        <w:rPr>
          <w:rFonts w:ascii="Arial" w:hAnsi="Arial" w:cs="Arial"/>
          <w:lang w:val="en-US"/>
        </w:rPr>
        <w:instrText>ADDIN CSL_CITATION { "citationItems" : [ { "id" : "ITEM-1", "itemData" : { "DOI" : "10.1016/j.crm.2016.12.001", "ISSN" : "2212-0963", "author" : [ { "dropping-particle" : "", "family" : "Ali", "given" : "Akhter", "non-dropping-particle" : "", "parse-names" : false, "suffix" : "" }, { "dropping-particle" : "", "family" : "Erenstein", "given" : "Olaf", "non-dropping-particle" : "", "parse-names" : false, "suffix" : "" } ], "container-title" : "Climate Risk Management", "id" : "ITEM-1", "issued" : { "date-parts" : [ [ "2017" ] ] }, "page" : "183-194", "publisher" : "The Authors", "title" : "Assessing farmer use of climate change adaptation practices and impacts on food security and poverty in Pakistan", "type" : "article-journal", "volume" : "16" }, "uris" : [ "http://www.mendeley.com/documents/?uuid=d42c1dab-cce7-4b31-a475-c952c53ae7e9" ] }, { "id" : "ITEM-2", "itemData" : { "DOI" : "10.1016/j.njas.2017.10.007", "ISSN" : "1573-5214", "author" : [ { "dropping-particle" : "", "family" : "Gebreyes", "given" : "Million", "non-dropping-particle" : "", "parse-names" : false, "suffix" : "" } ], "container-title" : "NJAS - Wageningen Journal of Life Sciences", "id" : "ITEM-2", "issue" : "November 2016", "issued" : { "date-parts" : [ [ "2018" ] ] }, "page" : "123-132", "publisher" : "Elsevier", "title" : "\u2018Producing\u2019 institutions of climate change adaptation and food security in north eastern Ethiopia", "type" : "article-journal", "volume" : "84" }, "uris" : [ "http://www.mendeley.com/documents/?uuid=fa9a4282-c216-41db-8500-d09eb100b079" ] } ], "mendeley" : { "formattedCitation" : "(Ali &amp; Erenstein, 2017; Gebreyes, 2018)", "plainTextFormattedCitation" : "(Ali &amp; Erenstein, 2017; Gebreyes, 2018)", "previouslyFormattedCitation" : "(Ali &amp; Erenstein, 2017; Gebreyes, 2018)" }, "properties" : {  }, "schema" : "https://github.com/citation-style-language/schema/raw/master/csl-citation.json" }</w:instrText>
      </w:r>
      <w:r w:rsidR="00B94BBB">
        <w:rPr>
          <w:rFonts w:ascii="Arial" w:hAnsi="Arial" w:cs="Arial"/>
          <w:lang w:val="en-US"/>
        </w:rPr>
        <w:fldChar w:fldCharType="separate"/>
      </w:r>
      <w:r w:rsidR="00D6093B" w:rsidRPr="00D6093B">
        <w:rPr>
          <w:rFonts w:ascii="Arial" w:hAnsi="Arial" w:cs="Arial"/>
          <w:noProof/>
          <w:lang w:val="en-US"/>
        </w:rPr>
        <w:t>(Ali &amp; Erenstein, 2017; Gebreyes, 2018)</w:t>
      </w:r>
      <w:r w:rsidR="00B94BBB">
        <w:rPr>
          <w:rFonts w:ascii="Arial" w:hAnsi="Arial" w:cs="Arial"/>
          <w:lang w:val="en-US"/>
        </w:rPr>
        <w:fldChar w:fldCharType="end"/>
      </w:r>
      <w:r w:rsidR="00D6093B">
        <w:rPr>
          <w:rFonts w:ascii="Arial" w:hAnsi="Arial" w:cs="Arial"/>
          <w:lang w:val="en-US"/>
        </w:rPr>
        <w:t>.</w:t>
      </w:r>
    </w:p>
    <w:p w:rsidR="00601A9F" w:rsidRPr="00601A9F" w:rsidRDefault="000E2881" w:rsidP="007A56D8">
      <w:pPr>
        <w:spacing w:after="0" w:line="240" w:lineRule="auto"/>
        <w:ind w:firstLine="709"/>
        <w:jc w:val="both"/>
        <w:rPr>
          <w:rFonts w:ascii="Arial" w:hAnsi="Arial" w:cs="Arial"/>
          <w:color w:val="000000"/>
          <w:lang w:val="en-US"/>
        </w:rPr>
      </w:pPr>
      <w:r>
        <w:rPr>
          <w:rFonts w:ascii="Arial" w:hAnsi="Arial" w:cs="Arial"/>
          <w:lang w:val="sv-SE"/>
        </w:rPr>
        <w:t>Bagaimana petani sekitar ”Waduk Pacal” bisa bertahan pada situasi keterbatasan ekonomi, memanfaatkan sumberdaya yang dimiliki untuk ketahanan pangan, dan bagaimana mereka meng</w:t>
      </w:r>
      <w:r w:rsidR="006E75DC">
        <w:rPr>
          <w:rFonts w:ascii="Arial" w:hAnsi="Arial" w:cs="Arial"/>
          <w:lang w:val="sv-SE"/>
        </w:rPr>
        <w:t>alokasikan</w:t>
      </w:r>
      <w:r>
        <w:rPr>
          <w:rFonts w:ascii="Arial" w:hAnsi="Arial" w:cs="Arial"/>
          <w:lang w:val="sv-SE"/>
        </w:rPr>
        <w:t xml:space="preserve"> pendapatan yang</w:t>
      </w:r>
      <w:r w:rsidR="006E75DC">
        <w:rPr>
          <w:rFonts w:ascii="Arial" w:hAnsi="Arial" w:cs="Arial"/>
          <w:lang w:val="sv-SE"/>
        </w:rPr>
        <w:t xml:space="preserve"> terbatas belum banyak ditliti</w:t>
      </w:r>
      <w:r>
        <w:rPr>
          <w:rFonts w:ascii="Arial" w:hAnsi="Arial" w:cs="Arial"/>
          <w:lang w:val="sv-SE"/>
        </w:rPr>
        <w:t xml:space="preserve">. </w:t>
      </w:r>
      <w:r w:rsidR="00206D8A">
        <w:rPr>
          <w:rFonts w:ascii="Arial" w:hAnsi="Arial" w:cs="Arial"/>
          <w:lang w:val="sv-SE"/>
        </w:rPr>
        <w:t>Kebaruan penelitian ini adalah mengkaji kemampuan ekonomi petani marjinal di sekitar ”Waduk Pacal”</w:t>
      </w:r>
      <w:r w:rsidR="00601A9F">
        <w:rPr>
          <w:rFonts w:ascii="Arial" w:hAnsi="Arial" w:cs="Arial"/>
          <w:lang w:val="sv-SE"/>
        </w:rPr>
        <w:t xml:space="preserve"> dalam memenuhi kebutuhan konsumsi pangan mereka.</w:t>
      </w:r>
      <w:r w:rsidR="004A20CB">
        <w:rPr>
          <w:rFonts w:ascii="Arial" w:hAnsi="Arial" w:cs="Arial"/>
          <w:lang w:val="sv-SE"/>
        </w:rPr>
        <w:t xml:space="preserve"> Lebih detil tujuan penelitian adalah: </w:t>
      </w:r>
      <w:r w:rsidR="00601A9F">
        <w:rPr>
          <w:rFonts w:ascii="Arial" w:hAnsi="Arial" w:cs="Arial"/>
          <w:lang w:val="sv-SE"/>
        </w:rPr>
        <w:t xml:space="preserve">1) </w:t>
      </w:r>
      <w:r w:rsidR="00601A9F" w:rsidRPr="00601A9F">
        <w:rPr>
          <w:rFonts w:ascii="Arial" w:hAnsi="Arial" w:cs="Arial"/>
          <w:lang w:val="sv-SE"/>
        </w:rPr>
        <w:t>mengetahui  pendapatan petani</w:t>
      </w:r>
      <w:r w:rsidR="009578EB">
        <w:rPr>
          <w:rFonts w:ascii="Arial" w:hAnsi="Arial" w:cs="Arial"/>
          <w:lang w:val="sv-SE"/>
        </w:rPr>
        <w:t xml:space="preserve"> dari berbagai sumber</w:t>
      </w:r>
      <w:r w:rsidR="00601A9F">
        <w:rPr>
          <w:rFonts w:ascii="Arial" w:hAnsi="Arial" w:cs="Arial"/>
          <w:lang w:val="sv-SE"/>
        </w:rPr>
        <w:t>;</w:t>
      </w:r>
      <w:r w:rsidR="00601A9F" w:rsidRPr="00601A9F">
        <w:rPr>
          <w:rFonts w:ascii="Arial" w:hAnsi="Arial" w:cs="Arial"/>
          <w:lang w:val="sv-SE"/>
        </w:rPr>
        <w:t xml:space="preserve"> </w:t>
      </w:r>
      <w:r w:rsidR="00601A9F">
        <w:rPr>
          <w:rFonts w:ascii="Arial" w:hAnsi="Arial" w:cs="Arial"/>
          <w:lang w:val="sv-SE"/>
        </w:rPr>
        <w:t xml:space="preserve">2) menganalisis </w:t>
      </w:r>
      <w:r w:rsidR="005E3958">
        <w:rPr>
          <w:rFonts w:ascii="Arial" w:hAnsi="Arial" w:cs="Arial"/>
          <w:lang w:val="sv-SE"/>
        </w:rPr>
        <w:t xml:space="preserve">konsumsi dan </w:t>
      </w:r>
      <w:r w:rsidR="00601A9F" w:rsidRPr="00601A9F">
        <w:rPr>
          <w:rFonts w:ascii="Arial" w:hAnsi="Arial" w:cs="Arial"/>
          <w:lang w:val="sv-SE"/>
        </w:rPr>
        <w:t>alokasi belanja konsumsi pangan</w:t>
      </w:r>
      <w:r w:rsidR="00601A9F">
        <w:rPr>
          <w:rFonts w:ascii="Arial" w:hAnsi="Arial" w:cs="Arial"/>
          <w:lang w:val="sv-SE"/>
        </w:rPr>
        <w:t>;</w:t>
      </w:r>
      <w:r w:rsidR="00601A9F" w:rsidRPr="00601A9F">
        <w:rPr>
          <w:rFonts w:ascii="Arial" w:hAnsi="Arial" w:cs="Arial"/>
          <w:lang w:val="sv-SE"/>
        </w:rPr>
        <w:t xml:space="preserve"> dan </w:t>
      </w:r>
      <w:r w:rsidR="00601A9F">
        <w:rPr>
          <w:rFonts w:ascii="Arial" w:hAnsi="Arial" w:cs="Arial"/>
          <w:lang w:val="sv-SE"/>
        </w:rPr>
        <w:t xml:space="preserve">3) menganalisis </w:t>
      </w:r>
      <w:r w:rsidR="009578EB">
        <w:rPr>
          <w:rFonts w:ascii="Arial" w:hAnsi="Arial" w:cs="Arial"/>
          <w:lang w:val="sv-SE"/>
        </w:rPr>
        <w:t xml:space="preserve">faktor-faktor yang mempengaruhi </w:t>
      </w:r>
      <w:r w:rsidR="00601A9F" w:rsidRPr="00601A9F">
        <w:rPr>
          <w:rFonts w:ascii="Arial" w:hAnsi="Arial" w:cs="Arial"/>
          <w:lang w:val="sv-SE"/>
        </w:rPr>
        <w:t>konsumsi pangan keluarga</w:t>
      </w:r>
      <w:r w:rsidR="00601A9F">
        <w:rPr>
          <w:rFonts w:ascii="Arial" w:hAnsi="Arial" w:cs="Arial"/>
          <w:lang w:val="sv-SE"/>
        </w:rPr>
        <w:t xml:space="preserve"> keluarga petani sekitar ”Waduk Pacal”.</w:t>
      </w:r>
    </w:p>
    <w:p w:rsidR="0027611A" w:rsidRDefault="0027611A" w:rsidP="0027611A">
      <w:pPr>
        <w:spacing w:after="0" w:line="240" w:lineRule="auto"/>
        <w:jc w:val="both"/>
        <w:rPr>
          <w:rFonts w:ascii="Arial" w:hAnsi="Arial" w:cs="Arial"/>
          <w:color w:val="000000"/>
        </w:rPr>
      </w:pPr>
      <w:r>
        <w:rPr>
          <w:rFonts w:ascii="Arial" w:hAnsi="Arial" w:cs="Arial"/>
          <w:color w:val="000000"/>
        </w:rPr>
        <w:tab/>
        <w:t>.</w:t>
      </w:r>
    </w:p>
    <w:p w:rsidR="0027611A" w:rsidRDefault="0027611A" w:rsidP="0027611A">
      <w:pPr>
        <w:spacing w:after="0" w:line="240" w:lineRule="auto"/>
        <w:jc w:val="both"/>
        <w:rPr>
          <w:rFonts w:ascii="Arial" w:hAnsi="Arial" w:cs="Arial"/>
          <w:b/>
          <w:color w:val="000000"/>
        </w:rPr>
      </w:pPr>
      <w:r>
        <w:rPr>
          <w:rFonts w:ascii="Arial" w:hAnsi="Arial" w:cs="Arial"/>
          <w:b/>
          <w:color w:val="000000"/>
        </w:rPr>
        <w:t>METODE PENELITIAN</w:t>
      </w:r>
    </w:p>
    <w:p w:rsidR="00471077" w:rsidRPr="00A71EA7" w:rsidRDefault="00F05E25" w:rsidP="0027611A">
      <w:pPr>
        <w:spacing w:after="0" w:line="240" w:lineRule="auto"/>
        <w:jc w:val="both"/>
        <w:rPr>
          <w:rFonts w:ascii="Arial" w:hAnsi="Arial" w:cs="Arial"/>
          <w:color w:val="000000"/>
          <w:lang w:val="sv-SE"/>
        </w:rPr>
      </w:pPr>
      <w:r>
        <w:rPr>
          <w:rFonts w:ascii="Arial" w:hAnsi="Arial" w:cs="Arial"/>
          <w:color w:val="000000"/>
          <w:lang w:val="sv-SE"/>
        </w:rPr>
        <w:t>Penelitian dilakukan di Desa Kedung Sumber</w:t>
      </w:r>
      <w:r w:rsidR="002678F3">
        <w:rPr>
          <w:rFonts w:ascii="Arial" w:hAnsi="Arial" w:cs="Arial"/>
          <w:color w:val="000000"/>
          <w:lang w:val="sv-SE"/>
        </w:rPr>
        <w:t>,</w:t>
      </w:r>
      <w:r>
        <w:rPr>
          <w:rFonts w:ascii="Arial" w:hAnsi="Arial" w:cs="Arial"/>
          <w:color w:val="000000"/>
          <w:lang w:val="sv-SE"/>
        </w:rPr>
        <w:t xml:space="preserve"> Kecamatan Temayang</w:t>
      </w:r>
      <w:r w:rsidR="002678F3">
        <w:rPr>
          <w:rFonts w:ascii="Arial" w:hAnsi="Arial" w:cs="Arial"/>
          <w:color w:val="000000"/>
          <w:lang w:val="sv-SE"/>
        </w:rPr>
        <w:t>,</w:t>
      </w:r>
      <w:r>
        <w:rPr>
          <w:rFonts w:ascii="Arial" w:hAnsi="Arial" w:cs="Arial"/>
          <w:color w:val="000000"/>
          <w:lang w:val="sv-SE"/>
        </w:rPr>
        <w:t xml:space="preserve"> Kabupaten Bojonegoro pada bulan November-Desember 2019. Data primer diperoleh </w:t>
      </w:r>
      <w:r w:rsidR="002678F3">
        <w:rPr>
          <w:rFonts w:ascii="Arial" w:hAnsi="Arial" w:cs="Arial"/>
          <w:color w:val="000000"/>
          <w:lang w:val="sv-SE"/>
        </w:rPr>
        <w:t xml:space="preserve">melalui </w:t>
      </w:r>
      <w:r w:rsidR="005D01F2">
        <w:rPr>
          <w:rFonts w:ascii="Arial" w:hAnsi="Arial" w:cs="Arial"/>
          <w:color w:val="000000"/>
          <w:lang w:val="sv-SE"/>
        </w:rPr>
        <w:t>wawancara dengan sejumlah 10</w:t>
      </w:r>
      <w:r w:rsidR="00C440CC">
        <w:rPr>
          <w:rFonts w:ascii="Arial" w:hAnsi="Arial" w:cs="Arial"/>
          <w:color w:val="000000"/>
          <w:lang w:val="sv-SE"/>
        </w:rPr>
        <w:t>0</w:t>
      </w:r>
      <w:r>
        <w:rPr>
          <w:rFonts w:ascii="Arial" w:hAnsi="Arial" w:cs="Arial"/>
          <w:color w:val="000000"/>
          <w:lang w:val="sv-SE"/>
        </w:rPr>
        <w:t xml:space="preserve"> petani yang diperoleh </w:t>
      </w:r>
      <w:r w:rsidR="002678F3">
        <w:rPr>
          <w:rFonts w:ascii="Arial" w:hAnsi="Arial" w:cs="Arial"/>
          <w:color w:val="000000"/>
          <w:lang w:val="sv-SE"/>
        </w:rPr>
        <w:t>dengan</w:t>
      </w:r>
      <w:r>
        <w:rPr>
          <w:rFonts w:ascii="Arial" w:hAnsi="Arial" w:cs="Arial"/>
          <w:color w:val="000000"/>
          <w:lang w:val="sv-SE"/>
        </w:rPr>
        <w:t xml:space="preserve"> </w:t>
      </w:r>
      <w:r w:rsidRPr="002678F3">
        <w:rPr>
          <w:rFonts w:ascii="Arial" w:hAnsi="Arial" w:cs="Arial"/>
          <w:i/>
          <w:color w:val="000000"/>
          <w:lang w:val="sv-SE"/>
        </w:rPr>
        <w:t>purposive sampling</w:t>
      </w:r>
      <w:r>
        <w:rPr>
          <w:rFonts w:ascii="Arial" w:hAnsi="Arial" w:cs="Arial"/>
          <w:color w:val="000000"/>
          <w:lang w:val="sv-SE"/>
        </w:rPr>
        <w:t>. Kriteria sampel penelitian adalah petani yang melakukan budidaya tanaman di lokasi ”Waduk Pacal”</w:t>
      </w:r>
      <w:r w:rsidR="002678F3">
        <w:rPr>
          <w:rFonts w:ascii="Arial" w:hAnsi="Arial" w:cs="Arial"/>
          <w:color w:val="000000"/>
          <w:lang w:val="sv-SE"/>
        </w:rPr>
        <w:t>, dan memiliki luas</w:t>
      </w:r>
      <w:r w:rsidR="00117002">
        <w:rPr>
          <w:rFonts w:ascii="Arial" w:hAnsi="Arial" w:cs="Arial"/>
          <w:color w:val="000000"/>
          <w:lang w:val="sv-SE"/>
        </w:rPr>
        <w:t xml:space="preserve"> lahan maksimal 0,75 Ha</w:t>
      </w:r>
      <w:r>
        <w:rPr>
          <w:rFonts w:ascii="Arial" w:hAnsi="Arial" w:cs="Arial"/>
          <w:color w:val="000000"/>
          <w:lang w:val="sv-SE"/>
        </w:rPr>
        <w:t>.</w:t>
      </w:r>
      <w:r w:rsidR="005D01F2">
        <w:rPr>
          <w:rFonts w:ascii="Arial" w:hAnsi="Arial" w:cs="Arial"/>
          <w:color w:val="000000"/>
          <w:lang w:val="sv-SE"/>
        </w:rPr>
        <w:t xml:space="preserve"> Jumlah petani yang memenuhi kriteria tersebut sejumlah 140 orang, namun diseleksi berdasarkan kelengkapan pengisian indikator analisis pada kuesioner </w:t>
      </w:r>
      <w:r w:rsidR="0073660B">
        <w:rPr>
          <w:rFonts w:ascii="Arial" w:hAnsi="Arial" w:cs="Arial"/>
          <w:color w:val="000000"/>
          <w:lang w:val="sv-SE"/>
        </w:rPr>
        <w:t xml:space="preserve">diperoleh 100 responden. Jumlah ini juga sudah memenuhi asumsi penggunaan </w:t>
      </w:r>
      <w:r w:rsidR="005D01F2">
        <w:rPr>
          <w:rFonts w:ascii="Arial" w:hAnsi="Arial" w:cs="Arial"/>
          <w:color w:val="000000"/>
          <w:lang w:val="sv-SE"/>
        </w:rPr>
        <w:t xml:space="preserve">software WarpPLS </w:t>
      </w:r>
      <w:r w:rsidR="002678F3">
        <w:rPr>
          <w:rFonts w:ascii="Arial" w:hAnsi="Arial" w:cs="Arial"/>
          <w:color w:val="000000"/>
          <w:lang w:val="sv-SE"/>
        </w:rPr>
        <w:t>yakni</w:t>
      </w:r>
      <w:r w:rsidR="005D01F2">
        <w:rPr>
          <w:rFonts w:ascii="Arial" w:hAnsi="Arial" w:cs="Arial"/>
          <w:color w:val="000000"/>
          <w:lang w:val="sv-SE"/>
        </w:rPr>
        <w:t xml:space="preserve"> </w:t>
      </w:r>
      <w:r w:rsidR="0073660B">
        <w:rPr>
          <w:rFonts w:ascii="Arial" w:hAnsi="Arial" w:cs="Arial"/>
          <w:color w:val="000000"/>
          <w:lang w:val="sv-SE"/>
        </w:rPr>
        <w:t xml:space="preserve">dengan resampling jumlah </w:t>
      </w:r>
      <w:r w:rsidR="005D01F2">
        <w:rPr>
          <w:rFonts w:ascii="Arial" w:hAnsi="Arial" w:cs="Arial"/>
          <w:color w:val="000000"/>
          <w:lang w:val="sv-SE"/>
        </w:rPr>
        <w:t>100 sampel</w:t>
      </w:r>
      <w:r w:rsidR="0073660B">
        <w:rPr>
          <w:rFonts w:ascii="Arial" w:hAnsi="Arial" w:cs="Arial"/>
          <w:color w:val="000000"/>
          <w:lang w:val="sv-SE"/>
        </w:rPr>
        <w:t xml:space="preserve"> sudah memenuhi dalil limit pusat bahwa statistik mendekati distribusi normal </w:t>
      </w:r>
      <w:r w:rsidR="00B94BBB">
        <w:rPr>
          <w:rFonts w:ascii="Arial" w:hAnsi="Arial" w:cs="Arial"/>
          <w:color w:val="000000"/>
          <w:lang w:val="sv-SE"/>
        </w:rPr>
        <w:fldChar w:fldCharType="begin" w:fldLock="1"/>
      </w:r>
      <w:r w:rsidR="0073660B">
        <w:rPr>
          <w:rFonts w:ascii="Arial" w:hAnsi="Arial" w:cs="Arial"/>
          <w:color w:val="000000"/>
          <w:lang w:val="sv-SE"/>
        </w:rPr>
        <w:instrText>ADDIN CSL_CITATION { "citationItems" : [ { "id" : "ITEM-1", "itemData" : { "author" : [ { "dropping-particle" : "", "family" : "Solimun", "given" : "Solmun", "non-dropping-particle" : "", "parse-names" : false, "suffix" : "" }, { "dropping-particle" : "", "family" : "Fernandes", "given" : "Adji Achmad Rinaldo", "non-dropping-particle" : "", "parse-names" : false, "suffix" : "" }, { "dropping-particle" : "", "family" : "Nurjannah", "given" : "Nurjannah", "non-dropping-particle" : "", "parse-names" : false, "suffix" : "" } ], "id" : "ITEM-1", "issued" : { "date-parts" : [ [ "2017" ] ] }, "publisher" : "UB Press.", "publisher-place" : "Malang", "title" : "Metode Statistika Multivarial Pemodelan Persamaan Struktural (SEM) Pendekatan WarpPLS", "type" : "book" }, "uris" : [ "http://www.mendeley.com/documents/?uuid=466a8f9b-1798-41a0-aa46-d12e461d6916" ] } ], "mendeley" : { "formattedCitation" : "(Solimun, Fernandes, &amp; Nurjannah, 2017)", "plainTextFormattedCitation" : "(Solimun, Fernandes, &amp; Nurjannah, 2017)", "previouslyFormattedCitation" : "(Solimun, Fernandes, &amp; Nurjannah, 2017)" }, "properties" : {  }, "schema" : "https://github.com/citation-style-language/schema/raw/master/csl-citation.json" }</w:instrText>
      </w:r>
      <w:r w:rsidR="00B94BBB">
        <w:rPr>
          <w:rFonts w:ascii="Arial" w:hAnsi="Arial" w:cs="Arial"/>
          <w:color w:val="000000"/>
          <w:lang w:val="sv-SE"/>
        </w:rPr>
        <w:fldChar w:fldCharType="separate"/>
      </w:r>
      <w:r w:rsidR="0073660B" w:rsidRPr="0073660B">
        <w:rPr>
          <w:rFonts w:ascii="Arial" w:hAnsi="Arial" w:cs="Arial"/>
          <w:noProof/>
          <w:color w:val="000000"/>
          <w:lang w:val="sv-SE"/>
        </w:rPr>
        <w:t>(Solimun, Fernandes, &amp; Nurjannah, 2017)</w:t>
      </w:r>
      <w:r w:rsidR="00B94BBB">
        <w:rPr>
          <w:rFonts w:ascii="Arial" w:hAnsi="Arial" w:cs="Arial"/>
          <w:color w:val="000000"/>
          <w:lang w:val="sv-SE"/>
        </w:rPr>
        <w:fldChar w:fldCharType="end"/>
      </w:r>
      <w:r w:rsidR="005D01F2">
        <w:rPr>
          <w:rFonts w:ascii="Arial" w:hAnsi="Arial" w:cs="Arial"/>
          <w:color w:val="000000"/>
          <w:lang w:val="sv-SE"/>
        </w:rPr>
        <w:t>.</w:t>
      </w:r>
    </w:p>
    <w:p w:rsidR="00117002" w:rsidRDefault="00F05E25" w:rsidP="00117002">
      <w:pPr>
        <w:tabs>
          <w:tab w:val="left" w:pos="1418"/>
        </w:tabs>
        <w:spacing w:after="0" w:line="240" w:lineRule="auto"/>
        <w:ind w:firstLine="709"/>
        <w:jc w:val="both"/>
        <w:rPr>
          <w:rFonts w:ascii="Arial" w:hAnsi="Arial" w:cs="Arial"/>
          <w:color w:val="000000"/>
          <w:lang w:val="sv-SE"/>
        </w:rPr>
      </w:pPr>
      <w:r>
        <w:rPr>
          <w:rFonts w:ascii="Arial" w:hAnsi="Arial" w:cs="Arial"/>
          <w:color w:val="000000"/>
          <w:lang w:val="sv-SE"/>
        </w:rPr>
        <w:t xml:space="preserve">Data pendapatan petani diukur dari pendapatan usahatani, pendapatan sebagai buruh tani, dan pendapatan pekerjaan non pertanian. Pendapatan usahatani diukur </w:t>
      </w:r>
      <w:r w:rsidR="00117002">
        <w:rPr>
          <w:rFonts w:ascii="Arial" w:hAnsi="Arial" w:cs="Arial"/>
          <w:color w:val="000000"/>
          <w:lang w:val="sv-SE"/>
        </w:rPr>
        <w:t>selama satu</w:t>
      </w:r>
      <w:r>
        <w:rPr>
          <w:rFonts w:ascii="Arial" w:hAnsi="Arial" w:cs="Arial"/>
          <w:color w:val="000000"/>
          <w:lang w:val="sv-SE"/>
        </w:rPr>
        <w:t xml:space="preserve"> musim terakhir</w:t>
      </w:r>
      <w:r w:rsidR="00117002">
        <w:rPr>
          <w:rFonts w:ascii="Arial" w:hAnsi="Arial" w:cs="Arial"/>
          <w:color w:val="000000"/>
          <w:lang w:val="sv-SE"/>
        </w:rPr>
        <w:t>, kemudian dikonversi ke pendapatan usahatani selama satu bulan</w:t>
      </w:r>
      <w:r w:rsidR="002678F3">
        <w:rPr>
          <w:rFonts w:ascii="Arial" w:hAnsi="Arial" w:cs="Arial"/>
          <w:color w:val="000000"/>
          <w:lang w:val="sv-SE"/>
        </w:rPr>
        <w:t xml:space="preserve"> (pendapatan satu musim dibagi empat bulan)</w:t>
      </w:r>
      <w:r w:rsidR="00117002">
        <w:rPr>
          <w:rFonts w:ascii="Arial" w:hAnsi="Arial" w:cs="Arial"/>
          <w:color w:val="000000"/>
          <w:lang w:val="sv-SE"/>
        </w:rPr>
        <w:t>.</w:t>
      </w:r>
      <w:r w:rsidR="004A20CB">
        <w:rPr>
          <w:rFonts w:ascii="Arial" w:hAnsi="Arial" w:cs="Arial"/>
          <w:color w:val="000000"/>
          <w:lang w:val="sv-SE"/>
        </w:rPr>
        <w:t xml:space="preserve"> </w:t>
      </w:r>
      <w:r w:rsidR="00117002">
        <w:rPr>
          <w:rFonts w:ascii="Arial" w:hAnsi="Arial" w:cs="Arial"/>
          <w:color w:val="000000"/>
          <w:lang w:val="sv-SE"/>
        </w:rPr>
        <w:t xml:space="preserve">Pendapatan sebagai buruh tani di lahan petani lain dan pendapatan pada pekerjaan non pertanian diukur selama satu bulan. Penyeragaman ukuran </w:t>
      </w:r>
      <w:r w:rsidR="00117002">
        <w:rPr>
          <w:rFonts w:ascii="Arial" w:hAnsi="Arial" w:cs="Arial"/>
          <w:color w:val="000000"/>
          <w:lang w:val="sv-SE"/>
        </w:rPr>
        <w:lastRenderedPageBreak/>
        <w:t xml:space="preserve">pendapatan selama satu bulan ini dilakukan untuk memungkinkan penjumlahan </w:t>
      </w:r>
      <w:r>
        <w:rPr>
          <w:rFonts w:ascii="Arial" w:hAnsi="Arial" w:cs="Arial"/>
          <w:color w:val="000000"/>
          <w:lang w:val="sv-SE"/>
        </w:rPr>
        <w:t>pendapatan</w:t>
      </w:r>
      <w:r w:rsidR="002678F3">
        <w:rPr>
          <w:rFonts w:ascii="Arial" w:hAnsi="Arial" w:cs="Arial"/>
          <w:color w:val="000000"/>
          <w:lang w:val="sv-SE"/>
        </w:rPr>
        <w:t xml:space="preserve"> total</w:t>
      </w:r>
      <w:r>
        <w:rPr>
          <w:rFonts w:ascii="Arial" w:hAnsi="Arial" w:cs="Arial"/>
          <w:color w:val="000000"/>
          <w:lang w:val="sv-SE"/>
        </w:rPr>
        <w:t xml:space="preserve"> </w:t>
      </w:r>
      <w:r w:rsidR="00117002">
        <w:rPr>
          <w:rFonts w:ascii="Arial" w:hAnsi="Arial" w:cs="Arial"/>
          <w:color w:val="000000"/>
          <w:lang w:val="sv-SE"/>
        </w:rPr>
        <w:t xml:space="preserve">petani dari berbagai sumber tersebut. </w:t>
      </w:r>
    </w:p>
    <w:p w:rsidR="006D5063" w:rsidRDefault="00117002" w:rsidP="00117002">
      <w:pPr>
        <w:tabs>
          <w:tab w:val="left" w:pos="1418"/>
        </w:tabs>
        <w:spacing w:after="0" w:line="240" w:lineRule="auto"/>
        <w:ind w:firstLine="709"/>
        <w:jc w:val="both"/>
        <w:rPr>
          <w:rFonts w:ascii="Arial" w:hAnsi="Arial" w:cs="Arial"/>
          <w:color w:val="000000"/>
          <w:lang w:val="sv-SE"/>
        </w:rPr>
      </w:pPr>
      <w:r>
        <w:rPr>
          <w:rFonts w:ascii="Arial" w:hAnsi="Arial" w:cs="Arial"/>
          <w:color w:val="000000"/>
          <w:lang w:val="sv-SE"/>
        </w:rPr>
        <w:t>Konsumsi pangan</w:t>
      </w:r>
      <w:r w:rsidR="00F05E25">
        <w:rPr>
          <w:rFonts w:ascii="Arial" w:hAnsi="Arial" w:cs="Arial"/>
          <w:color w:val="000000"/>
          <w:lang w:val="sv-SE"/>
        </w:rPr>
        <w:t xml:space="preserve"> </w:t>
      </w:r>
      <w:r>
        <w:rPr>
          <w:rFonts w:ascii="Arial" w:hAnsi="Arial" w:cs="Arial"/>
          <w:color w:val="000000"/>
          <w:lang w:val="sv-SE"/>
        </w:rPr>
        <w:t xml:space="preserve">rumahtangga petani dihitung dari </w:t>
      </w:r>
      <w:r w:rsidRPr="00117002">
        <w:rPr>
          <w:rFonts w:ascii="Arial" w:hAnsi="Arial" w:cs="Arial"/>
          <w:i/>
          <w:color w:val="000000"/>
          <w:lang w:val="sv-SE"/>
        </w:rPr>
        <w:t>recall</w:t>
      </w:r>
      <w:r>
        <w:rPr>
          <w:rFonts w:ascii="Arial" w:hAnsi="Arial" w:cs="Arial"/>
          <w:color w:val="000000"/>
          <w:lang w:val="sv-SE"/>
        </w:rPr>
        <w:t xml:space="preserve"> konsumsi pangan selama satu minggu terakhir. </w:t>
      </w:r>
      <w:r w:rsidR="005D01F2">
        <w:rPr>
          <w:rFonts w:ascii="Arial" w:hAnsi="Arial" w:cs="Arial"/>
          <w:color w:val="000000"/>
          <w:lang w:val="sv-SE"/>
        </w:rPr>
        <w:t xml:space="preserve">Data </w:t>
      </w:r>
      <w:r w:rsidR="006D5063" w:rsidRPr="005D01F2">
        <w:rPr>
          <w:rFonts w:ascii="Arial" w:hAnsi="Arial" w:cs="Arial"/>
          <w:i/>
          <w:color w:val="000000"/>
          <w:lang w:val="sv-SE"/>
        </w:rPr>
        <w:t>recall</w:t>
      </w:r>
      <w:r w:rsidR="006D5063">
        <w:rPr>
          <w:rFonts w:ascii="Arial" w:hAnsi="Arial" w:cs="Arial"/>
          <w:color w:val="000000"/>
          <w:lang w:val="sv-SE"/>
        </w:rPr>
        <w:t xml:space="preserve"> konsumsi pangan </w:t>
      </w:r>
      <w:r w:rsidR="005D01F2">
        <w:rPr>
          <w:rFonts w:ascii="Arial" w:hAnsi="Arial" w:cs="Arial"/>
          <w:color w:val="000000"/>
          <w:lang w:val="sv-SE"/>
        </w:rPr>
        <w:t>i</w:t>
      </w:r>
      <w:r w:rsidR="006D5063">
        <w:rPr>
          <w:rFonts w:ascii="Arial" w:hAnsi="Arial" w:cs="Arial"/>
          <w:color w:val="000000"/>
          <w:lang w:val="sv-SE"/>
        </w:rPr>
        <w:t xml:space="preserve">ni digunakan untuk </w:t>
      </w:r>
      <w:r w:rsidR="008B73BB">
        <w:rPr>
          <w:rFonts w:ascii="Arial" w:hAnsi="Arial" w:cs="Arial"/>
          <w:color w:val="000000"/>
          <w:lang w:val="sv-SE"/>
        </w:rPr>
        <w:t>meng</w:t>
      </w:r>
      <w:r w:rsidR="006D5063">
        <w:rPr>
          <w:rFonts w:ascii="Arial" w:hAnsi="Arial" w:cs="Arial"/>
          <w:color w:val="000000"/>
          <w:lang w:val="sv-SE"/>
        </w:rPr>
        <w:t xml:space="preserve">analisis </w:t>
      </w:r>
      <w:r w:rsidR="008B73BB">
        <w:rPr>
          <w:rFonts w:ascii="Arial" w:hAnsi="Arial" w:cs="Arial"/>
          <w:color w:val="000000"/>
          <w:lang w:val="sv-SE"/>
        </w:rPr>
        <w:t xml:space="preserve">keragaman konsumsi pangan agar memenuhi </w:t>
      </w:r>
      <w:r w:rsidR="006D5063">
        <w:rPr>
          <w:rFonts w:ascii="Arial" w:hAnsi="Arial" w:cs="Arial"/>
          <w:color w:val="000000"/>
          <w:lang w:val="sv-SE"/>
        </w:rPr>
        <w:t xml:space="preserve">pola pangan harapan (PPH). </w:t>
      </w:r>
      <w:r w:rsidR="008B73BB">
        <w:rPr>
          <w:rFonts w:ascii="Arial" w:hAnsi="Arial" w:cs="Arial"/>
          <w:color w:val="000000"/>
          <w:lang w:val="sv-SE"/>
        </w:rPr>
        <w:t>Faktor-faktor yang mempengaruhi PPH adalah jumlah</w:t>
      </w:r>
      <w:r w:rsidR="008B73BB" w:rsidRPr="008B73BB">
        <w:rPr>
          <w:rFonts w:ascii="Arial" w:hAnsi="Arial" w:cs="Arial"/>
          <w:color w:val="000000"/>
          <w:lang w:val="sv-SE"/>
        </w:rPr>
        <w:t xml:space="preserve"> keluarga, tingkat pendidikan dan tingkat pendapatan</w:t>
      </w:r>
      <w:r w:rsidR="008B73BB">
        <w:rPr>
          <w:rFonts w:ascii="Arial" w:hAnsi="Arial" w:cs="Arial"/>
          <w:color w:val="000000"/>
          <w:lang w:val="sv-SE"/>
        </w:rPr>
        <w:t xml:space="preserve"> </w:t>
      </w:r>
      <w:r w:rsidR="00B94BBB">
        <w:rPr>
          <w:rFonts w:ascii="Arial" w:hAnsi="Arial" w:cs="Arial"/>
          <w:color w:val="000000"/>
          <w:lang w:val="sv-SE"/>
        </w:rPr>
        <w:fldChar w:fldCharType="begin" w:fldLock="1"/>
      </w:r>
      <w:r w:rsidR="008B73BB">
        <w:rPr>
          <w:rFonts w:ascii="Arial" w:hAnsi="Arial" w:cs="Arial"/>
          <w:color w:val="000000"/>
          <w:lang w:val="sv-SE"/>
        </w:rPr>
        <w:instrText>ADDIN CSL_CITATION { "citationItems" : [ { "id" : "ITEM-1", "itemData" : { "DOI" : "10.33512/jat.v11i2.5091", "ISSN" : "1979-4991", "abstract" : "One way to know food self-sufficiency through the quality of food consumption diversity as measured by Food Harvest Scale (PPH) scores, hereinafter abbreviated as PPH. PPH can be used as a measure of nutritional balance and food diversity consumed by residents in a region. The maximum PPH score, 100 indicates the diverse food consumption situation and both the composition and quality of nutrition (Baliwati, 2011). In practice, the achievement of food quality and quantity indicator in Bandung Regency has not been achieved. This study aims to determine the size of family, education level, and income level of PPH in Bandung regency. The basic method of this research is the explanatory method (Eksplanatory Research). The determination of Paseh and Pasirjambu sub-districts was conducted by purposive sampling, which is determined by the highest and lowest kecamatan PPH. Furthermore the size of respondents using Slovin techniques. To know the factors that influence the PPH in Bandung regency using multiple regression analysis technique and the test is done by using SPSS 20 program. The result of the research shows that the family size, education level and income level have positive influence on PPH Kabupaten Bandung. This 126", "author" : [ { "dropping-particle" : "", "family" : "Argandi", "given" : "Syaeful", "non-dropping-particle" : "", "parse-names" : false, "suffix" : "" }, { "dropping-particle" : "", "family" : "Trimo", "given" : "Lucyana", "non-dropping-particle" : "", "parse-names" : false, "suffix" : "" }, { "dropping-particle" : "", "family" : "Noor", "given" : "Trisna Insan", "non-dropping-particle" : "", "parse-names" : false, "suffix" : "" } ], "container-title" : "Jurnal Agribisnis Terpadu", "id" : "ITEM-1", "issue" : "2", "issued" : { "date-parts" : [ [ "2018" ] ] }, "page" : "126", "title" : "Faktor\u2013Faktor Yang Mempengaruhi Pola Pangan Harapan (PPH) Di Kabupaten Bandung", "type" : "article-journal", "volume" : "11" }, "uris" : [ "http://www.mendeley.com/documents/?uuid=7052630f-2039-4ddf-b050-e7b20dd78099" ] } ], "mendeley" : { "formattedCitation" : "(Argandi, Trimo, &amp; Noor, 2018)", "plainTextFormattedCitation" : "(Argandi, Trimo, &amp; Noor, 2018)", "previouslyFormattedCitation" : "(Argandi, Trimo, &amp; Noor, 2018)" }, "properties" : {  }, "schema" : "https://github.com/citation-style-language/schema/raw/master/csl-citation.json" }</w:instrText>
      </w:r>
      <w:r w:rsidR="00B94BBB">
        <w:rPr>
          <w:rFonts w:ascii="Arial" w:hAnsi="Arial" w:cs="Arial"/>
          <w:color w:val="000000"/>
          <w:lang w:val="sv-SE"/>
        </w:rPr>
        <w:fldChar w:fldCharType="separate"/>
      </w:r>
      <w:r w:rsidR="008B73BB" w:rsidRPr="008B73BB">
        <w:rPr>
          <w:rFonts w:ascii="Arial" w:hAnsi="Arial" w:cs="Arial"/>
          <w:noProof/>
          <w:color w:val="000000"/>
          <w:lang w:val="sv-SE"/>
        </w:rPr>
        <w:t>(Argandi, Trimo, &amp; Noor, 2018)</w:t>
      </w:r>
      <w:r w:rsidR="00B94BBB">
        <w:rPr>
          <w:rFonts w:ascii="Arial" w:hAnsi="Arial" w:cs="Arial"/>
          <w:color w:val="000000"/>
          <w:lang w:val="sv-SE"/>
        </w:rPr>
        <w:fldChar w:fldCharType="end"/>
      </w:r>
      <w:r w:rsidR="008B73BB">
        <w:rPr>
          <w:rFonts w:ascii="Arial" w:hAnsi="Arial" w:cs="Arial"/>
          <w:color w:val="000000"/>
          <w:lang w:val="sv-SE"/>
        </w:rPr>
        <w:t>. Selain data recall konsumsi selama satu minggu, alokasi belanja pangan juga dapat menjadi indikator keragaman pangan yang dikonsumsi rumahtangga petani</w:t>
      </w:r>
      <w:r w:rsidR="008B73BB">
        <w:rPr>
          <w:rFonts w:ascii="Arial" w:hAnsi="Arial" w:cs="Arial"/>
          <w:color w:val="FF0000"/>
          <w:lang w:val="sv-SE"/>
        </w:rPr>
        <w:t>.</w:t>
      </w:r>
      <w:r w:rsidR="005D01F2">
        <w:rPr>
          <w:rFonts w:ascii="Arial" w:hAnsi="Arial" w:cs="Arial"/>
          <w:color w:val="000000"/>
          <w:lang w:val="sv-SE"/>
        </w:rPr>
        <w:t xml:space="preserve"> </w:t>
      </w:r>
    </w:p>
    <w:p w:rsidR="00F05E25" w:rsidRDefault="006D5063" w:rsidP="006D5063">
      <w:pPr>
        <w:tabs>
          <w:tab w:val="left" w:pos="1418"/>
        </w:tabs>
        <w:spacing w:after="0" w:line="240" w:lineRule="auto"/>
        <w:ind w:firstLine="709"/>
        <w:jc w:val="both"/>
        <w:rPr>
          <w:rFonts w:ascii="Arial" w:hAnsi="Arial" w:cs="Arial"/>
          <w:color w:val="000000"/>
          <w:lang w:val="sv-SE"/>
        </w:rPr>
      </w:pPr>
      <w:r>
        <w:rPr>
          <w:rFonts w:ascii="Arial" w:hAnsi="Arial" w:cs="Arial"/>
          <w:color w:val="000000"/>
          <w:lang w:val="sv-SE"/>
        </w:rPr>
        <w:t>P</w:t>
      </w:r>
      <w:r w:rsidR="00117002">
        <w:rPr>
          <w:rFonts w:ascii="Arial" w:hAnsi="Arial" w:cs="Arial"/>
          <w:color w:val="000000"/>
          <w:lang w:val="sv-SE"/>
        </w:rPr>
        <w:t xml:space="preserve">engeluaran belanja konsumsi pangan diukur dari data </w:t>
      </w:r>
      <w:r w:rsidR="005D01F2">
        <w:rPr>
          <w:rFonts w:ascii="Arial" w:hAnsi="Arial" w:cs="Arial"/>
          <w:color w:val="000000"/>
          <w:lang w:val="sv-SE"/>
        </w:rPr>
        <w:t xml:space="preserve">belanja pangan </w:t>
      </w:r>
      <w:r w:rsidR="00117002">
        <w:rPr>
          <w:rFonts w:ascii="Arial" w:hAnsi="Arial" w:cs="Arial"/>
          <w:color w:val="000000"/>
          <w:lang w:val="sv-SE"/>
        </w:rPr>
        <w:t xml:space="preserve">satu minggu terakhir, kemudian dikonversi untuk satu bulan (dikalikan empat minggu). Konversi belanja konsumsi pangan satu bulan ini dilakukan untuk menghitung alokasi belanja konsumsi pangan </w:t>
      </w:r>
      <w:r>
        <w:rPr>
          <w:rFonts w:ascii="Arial" w:hAnsi="Arial" w:cs="Arial"/>
          <w:color w:val="000000"/>
          <w:lang w:val="sv-SE"/>
        </w:rPr>
        <w:t>dari pendapatan petani satu bulan.</w:t>
      </w:r>
    </w:p>
    <w:p w:rsidR="00D05BDC" w:rsidRPr="00042F5B" w:rsidRDefault="0027611A" w:rsidP="006D5063">
      <w:pPr>
        <w:spacing w:line="240" w:lineRule="auto"/>
        <w:jc w:val="both"/>
        <w:rPr>
          <w:rFonts w:ascii="Arial" w:eastAsia="Times New Roman" w:hAnsi="Arial" w:cs="Arial"/>
          <w:lang w:val="en-US"/>
        </w:rPr>
      </w:pPr>
      <w:r>
        <w:rPr>
          <w:rFonts w:ascii="Arial" w:hAnsi="Arial" w:cs="Arial"/>
          <w:color w:val="000000"/>
        </w:rPr>
        <w:tab/>
      </w:r>
      <w:r w:rsidR="003373C5">
        <w:rPr>
          <w:rFonts w:ascii="Arial" w:hAnsi="Arial" w:cs="Arial"/>
          <w:color w:val="000000"/>
          <w:lang w:val="en-US"/>
        </w:rPr>
        <w:t>D</w:t>
      </w:r>
      <w:r w:rsidR="006D5063" w:rsidRPr="006D5063">
        <w:rPr>
          <w:rFonts w:ascii="Arial" w:hAnsi="Arial" w:cs="Arial"/>
          <w:color w:val="000000"/>
        </w:rPr>
        <w:t xml:space="preserve">ata penelitian dianalisis </w:t>
      </w:r>
      <w:r w:rsidR="003373C5">
        <w:rPr>
          <w:rFonts w:ascii="Arial" w:hAnsi="Arial" w:cs="Arial"/>
          <w:color w:val="000000"/>
          <w:lang w:val="en-US"/>
        </w:rPr>
        <w:t xml:space="preserve">dengan </w:t>
      </w:r>
      <w:r w:rsidR="006D5063" w:rsidRPr="006D5063">
        <w:rPr>
          <w:rFonts w:ascii="Arial" w:hAnsi="Arial" w:cs="Arial"/>
          <w:color w:val="000000"/>
        </w:rPr>
        <w:t xml:space="preserve">deskriptif </w:t>
      </w:r>
      <w:r w:rsidR="003373C5">
        <w:rPr>
          <w:rFonts w:ascii="Arial" w:hAnsi="Arial" w:cs="Arial"/>
          <w:color w:val="000000"/>
          <w:lang w:val="en-US"/>
        </w:rPr>
        <w:t>dan PLS-SEM (</w:t>
      </w:r>
      <w:r w:rsidR="003373C5" w:rsidRPr="00135169">
        <w:rPr>
          <w:rFonts w:ascii="Arial" w:hAnsi="Arial" w:cs="Arial"/>
          <w:i/>
          <w:color w:val="000000"/>
          <w:lang w:val="en-US"/>
        </w:rPr>
        <w:t>Partially Least Square</w:t>
      </w:r>
      <w:r w:rsidR="008B73BB">
        <w:rPr>
          <w:rFonts w:ascii="Arial" w:hAnsi="Arial" w:cs="Arial"/>
          <w:i/>
          <w:color w:val="000000"/>
          <w:lang w:val="en-US"/>
        </w:rPr>
        <w:t xml:space="preserve"> </w:t>
      </w:r>
      <w:r w:rsidR="003373C5" w:rsidRPr="00135169">
        <w:rPr>
          <w:rFonts w:ascii="Arial" w:hAnsi="Arial" w:cs="Arial"/>
          <w:i/>
          <w:color w:val="000000"/>
          <w:lang w:val="en-US"/>
        </w:rPr>
        <w:t>-</w:t>
      </w:r>
      <w:r w:rsidR="008B73BB">
        <w:rPr>
          <w:rFonts w:ascii="Arial" w:hAnsi="Arial" w:cs="Arial"/>
          <w:i/>
          <w:color w:val="000000"/>
          <w:lang w:val="en-US"/>
        </w:rPr>
        <w:t xml:space="preserve"> </w:t>
      </w:r>
      <w:r w:rsidR="003373C5" w:rsidRPr="00135169">
        <w:rPr>
          <w:rFonts w:ascii="Arial" w:hAnsi="Arial" w:cs="Arial"/>
          <w:i/>
          <w:color w:val="000000"/>
          <w:lang w:val="en-US"/>
        </w:rPr>
        <w:t>Structural Equation Model</w:t>
      </w:r>
      <w:r w:rsidR="003373C5">
        <w:rPr>
          <w:rFonts w:ascii="Arial" w:hAnsi="Arial" w:cs="Arial"/>
          <w:color w:val="000000"/>
          <w:lang w:val="en-US"/>
        </w:rPr>
        <w:t>)</w:t>
      </w:r>
      <w:r w:rsidR="006D5063" w:rsidRPr="006D5063">
        <w:rPr>
          <w:rFonts w:ascii="Arial" w:hAnsi="Arial" w:cs="Arial"/>
          <w:color w:val="000000"/>
        </w:rPr>
        <w:t xml:space="preserve">. </w:t>
      </w:r>
      <w:r w:rsidR="003373C5" w:rsidRPr="00042F5B">
        <w:rPr>
          <w:rFonts w:ascii="Arial" w:eastAsia="Times New Roman" w:hAnsi="Arial" w:cs="Arial"/>
          <w:lang w:val="en-US"/>
        </w:rPr>
        <w:t>Rancangan model PLS-SEM disajikan pada Gambar 1</w:t>
      </w:r>
      <w:r w:rsidR="00717A22" w:rsidRPr="00042F5B">
        <w:rPr>
          <w:rFonts w:ascii="Arial" w:eastAsia="Times New Roman" w:hAnsi="Arial" w:cs="Arial"/>
          <w:lang w:val="en-US"/>
        </w:rPr>
        <w:t xml:space="preserve">. </w:t>
      </w:r>
    </w:p>
    <w:p w:rsidR="00587E06" w:rsidRDefault="00EA7727" w:rsidP="004F445E">
      <w:pPr>
        <w:spacing w:after="0" w:line="240" w:lineRule="auto"/>
        <w:jc w:val="center"/>
        <w:rPr>
          <w:rFonts w:ascii="Arial" w:eastAsia="Times New Roman" w:hAnsi="Arial" w:cs="Arial"/>
          <w:b/>
          <w:color w:val="000000"/>
          <w:lang w:val="en-US"/>
        </w:rPr>
      </w:pPr>
      <w:r w:rsidRPr="00EA7727">
        <w:rPr>
          <w:rFonts w:ascii="Arial" w:eastAsia="Times New Roman" w:hAnsi="Arial" w:cs="Arial"/>
          <w:b/>
          <w:noProof/>
          <w:color w:val="000000"/>
          <w:lang w:val="en-US"/>
        </w:rPr>
        <w:drawing>
          <wp:inline distT="0" distB="0" distL="0" distR="0">
            <wp:extent cx="5040630" cy="2107565"/>
            <wp:effectExtent l="19050" t="0" r="7620" b="0"/>
            <wp:docPr id="2" name="Picture 4" descr="Kerangka 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SEM.jpg"/>
                    <pic:cNvPicPr/>
                  </pic:nvPicPr>
                  <pic:blipFill>
                    <a:blip r:embed="rId8"/>
                    <a:stretch>
                      <a:fillRect/>
                    </a:stretch>
                  </pic:blipFill>
                  <pic:spPr>
                    <a:xfrm>
                      <a:off x="0" y="0"/>
                      <a:ext cx="5040630" cy="2107565"/>
                    </a:xfrm>
                    <a:prstGeom prst="rect">
                      <a:avLst/>
                    </a:prstGeom>
                  </pic:spPr>
                </pic:pic>
              </a:graphicData>
            </a:graphic>
          </wp:inline>
        </w:drawing>
      </w:r>
    </w:p>
    <w:p w:rsidR="00EA7727" w:rsidRDefault="00EA7727" w:rsidP="00EA7727">
      <w:pPr>
        <w:spacing w:after="0" w:line="240" w:lineRule="auto"/>
        <w:jc w:val="center"/>
        <w:rPr>
          <w:rFonts w:ascii="Arial" w:hAnsi="Arial" w:cs="Arial"/>
          <w:b/>
          <w:lang w:val="en-US"/>
        </w:rPr>
      </w:pPr>
      <w:r>
        <w:rPr>
          <w:rFonts w:ascii="Arial" w:hAnsi="Arial" w:cs="Arial"/>
          <w:b/>
          <w:lang w:val="en-US"/>
        </w:rPr>
        <w:t>Gambar 1</w:t>
      </w:r>
    </w:p>
    <w:p w:rsidR="00EA7727" w:rsidRDefault="00EA7727" w:rsidP="00EA7727">
      <w:pPr>
        <w:spacing w:after="0" w:line="240" w:lineRule="auto"/>
        <w:jc w:val="center"/>
        <w:rPr>
          <w:rFonts w:ascii="Arial" w:hAnsi="Arial" w:cs="Arial"/>
          <w:b/>
          <w:lang w:val="en-US"/>
        </w:rPr>
      </w:pPr>
      <w:r>
        <w:rPr>
          <w:rFonts w:ascii="Arial" w:hAnsi="Arial" w:cs="Arial"/>
          <w:b/>
          <w:lang w:val="en-US"/>
        </w:rPr>
        <w:t>Kerangka Analisis PLS-SEM</w:t>
      </w:r>
    </w:p>
    <w:p w:rsidR="009578EB" w:rsidRDefault="009578EB" w:rsidP="009578EB">
      <w:pPr>
        <w:pStyle w:val="NoSpacing"/>
        <w:ind w:firstLine="709"/>
        <w:jc w:val="both"/>
        <w:rPr>
          <w:rFonts w:ascii="Arial" w:hAnsi="Arial" w:cs="Arial"/>
          <w:bCs/>
          <w:color w:val="000000"/>
          <w:sz w:val="22"/>
          <w:szCs w:val="22"/>
        </w:rPr>
      </w:pPr>
    </w:p>
    <w:p w:rsidR="009578EB" w:rsidRDefault="008B73BB" w:rsidP="00CD49A5">
      <w:pPr>
        <w:pStyle w:val="NoSpacing"/>
        <w:ind w:firstLine="709"/>
        <w:jc w:val="both"/>
        <w:rPr>
          <w:rFonts w:ascii="Arial" w:hAnsi="Arial" w:cs="Arial"/>
          <w:bCs/>
          <w:color w:val="000000"/>
          <w:sz w:val="22"/>
          <w:szCs w:val="22"/>
        </w:rPr>
      </w:pPr>
      <w:r>
        <w:rPr>
          <w:rFonts w:ascii="Arial" w:hAnsi="Arial" w:cs="Arial"/>
          <w:bCs/>
          <w:color w:val="000000"/>
          <w:sz w:val="22"/>
          <w:szCs w:val="22"/>
        </w:rPr>
        <w:t>H</w:t>
      </w:r>
      <w:r w:rsidR="000638EE" w:rsidRPr="00216D38">
        <w:rPr>
          <w:rFonts w:ascii="Arial" w:hAnsi="Arial" w:cs="Arial"/>
          <w:bCs/>
          <w:color w:val="000000"/>
          <w:sz w:val="22"/>
          <w:szCs w:val="22"/>
        </w:rPr>
        <w:t>ipotesis</w:t>
      </w:r>
      <w:r w:rsidR="009578EB">
        <w:rPr>
          <w:rFonts w:ascii="Arial" w:hAnsi="Arial" w:cs="Arial"/>
          <w:bCs/>
          <w:color w:val="000000"/>
          <w:sz w:val="22"/>
          <w:szCs w:val="22"/>
        </w:rPr>
        <w:t xml:space="preserve"> penelitian yang diajukan adalah: </w:t>
      </w:r>
      <w:r w:rsidR="005D01F2">
        <w:rPr>
          <w:rFonts w:ascii="Arial" w:hAnsi="Arial" w:cs="Arial"/>
          <w:bCs/>
          <w:color w:val="000000"/>
          <w:sz w:val="22"/>
          <w:szCs w:val="22"/>
        </w:rPr>
        <w:t>(</w:t>
      </w:r>
      <w:r w:rsidR="009578EB">
        <w:rPr>
          <w:rFonts w:ascii="Arial" w:hAnsi="Arial" w:cs="Arial"/>
          <w:bCs/>
          <w:color w:val="000000"/>
          <w:sz w:val="22"/>
          <w:szCs w:val="22"/>
        </w:rPr>
        <w:t xml:space="preserve">1) </w:t>
      </w:r>
      <w:r w:rsidR="000638EE" w:rsidRPr="00216D38">
        <w:rPr>
          <w:rFonts w:ascii="Arial" w:hAnsi="Arial" w:cs="Arial"/>
          <w:bCs/>
          <w:color w:val="000000"/>
          <w:sz w:val="22"/>
          <w:szCs w:val="22"/>
        </w:rPr>
        <w:t>Usahatani berpengaruh terhadap belanja konsumsi pangan</w:t>
      </w:r>
      <w:r w:rsidR="009578EB">
        <w:rPr>
          <w:rFonts w:ascii="Arial" w:hAnsi="Arial" w:cs="Arial"/>
          <w:bCs/>
          <w:color w:val="000000"/>
          <w:sz w:val="22"/>
          <w:szCs w:val="22"/>
        </w:rPr>
        <w:t xml:space="preserve">; </w:t>
      </w:r>
      <w:r w:rsidR="005D01F2">
        <w:rPr>
          <w:rFonts w:ascii="Arial" w:hAnsi="Arial" w:cs="Arial"/>
          <w:bCs/>
          <w:color w:val="000000"/>
          <w:sz w:val="22"/>
          <w:szCs w:val="22"/>
        </w:rPr>
        <w:t>(</w:t>
      </w:r>
      <w:r w:rsidR="009578EB">
        <w:rPr>
          <w:rFonts w:ascii="Arial" w:hAnsi="Arial" w:cs="Arial"/>
          <w:bCs/>
          <w:color w:val="000000"/>
          <w:sz w:val="22"/>
          <w:szCs w:val="22"/>
        </w:rPr>
        <w:t>2)</w:t>
      </w:r>
      <w:r w:rsidR="005D01F2">
        <w:rPr>
          <w:rFonts w:ascii="Arial" w:hAnsi="Arial" w:cs="Arial"/>
          <w:bCs/>
          <w:color w:val="000000"/>
          <w:sz w:val="22"/>
          <w:szCs w:val="22"/>
        </w:rPr>
        <w:t xml:space="preserve"> </w:t>
      </w:r>
      <w:r w:rsidR="000638EE" w:rsidRPr="00216D38">
        <w:rPr>
          <w:rFonts w:ascii="Arial" w:hAnsi="Arial" w:cs="Arial"/>
          <w:bCs/>
          <w:color w:val="000000"/>
          <w:sz w:val="22"/>
          <w:szCs w:val="22"/>
        </w:rPr>
        <w:t>Pendapatan non usahatani berpengaruh terhadap belanja konsumsi pangan</w:t>
      </w:r>
      <w:r w:rsidR="009578EB">
        <w:rPr>
          <w:rFonts w:ascii="Arial" w:hAnsi="Arial" w:cs="Arial"/>
          <w:bCs/>
          <w:color w:val="000000"/>
          <w:sz w:val="22"/>
          <w:szCs w:val="22"/>
        </w:rPr>
        <w:t xml:space="preserve">; </w:t>
      </w:r>
      <w:r w:rsidR="005D01F2">
        <w:rPr>
          <w:rFonts w:ascii="Arial" w:hAnsi="Arial" w:cs="Arial"/>
          <w:bCs/>
          <w:color w:val="000000"/>
          <w:sz w:val="22"/>
          <w:szCs w:val="22"/>
        </w:rPr>
        <w:t>(</w:t>
      </w:r>
      <w:r w:rsidR="009578EB">
        <w:rPr>
          <w:rFonts w:ascii="Arial" w:hAnsi="Arial" w:cs="Arial"/>
          <w:bCs/>
          <w:color w:val="000000"/>
          <w:sz w:val="22"/>
          <w:szCs w:val="22"/>
        </w:rPr>
        <w:t>3)</w:t>
      </w:r>
      <w:r w:rsidR="005D01F2">
        <w:rPr>
          <w:rFonts w:ascii="Arial" w:hAnsi="Arial" w:cs="Arial"/>
          <w:bCs/>
          <w:color w:val="000000"/>
          <w:sz w:val="22"/>
          <w:szCs w:val="22"/>
        </w:rPr>
        <w:t xml:space="preserve"> </w:t>
      </w:r>
      <w:r w:rsidR="000638EE" w:rsidRPr="00216D38">
        <w:rPr>
          <w:rFonts w:ascii="Arial" w:hAnsi="Arial" w:cs="Arial"/>
          <w:bCs/>
          <w:color w:val="000000"/>
          <w:sz w:val="22"/>
          <w:szCs w:val="22"/>
        </w:rPr>
        <w:t>Belanja konsumsi pangan berpengaruh positif terhadap konsumsi pangan</w:t>
      </w:r>
      <w:r w:rsidR="009578EB">
        <w:rPr>
          <w:rFonts w:ascii="Arial" w:hAnsi="Arial" w:cs="Arial"/>
          <w:bCs/>
          <w:color w:val="000000"/>
          <w:sz w:val="22"/>
          <w:szCs w:val="22"/>
        </w:rPr>
        <w:t xml:space="preserve">; dan </w:t>
      </w:r>
      <w:r w:rsidR="005D01F2">
        <w:rPr>
          <w:rFonts w:ascii="Arial" w:hAnsi="Arial" w:cs="Arial"/>
          <w:bCs/>
          <w:color w:val="000000"/>
          <w:sz w:val="22"/>
          <w:szCs w:val="22"/>
        </w:rPr>
        <w:t>(</w:t>
      </w:r>
      <w:r w:rsidR="009578EB">
        <w:rPr>
          <w:rFonts w:ascii="Arial" w:hAnsi="Arial" w:cs="Arial"/>
          <w:bCs/>
          <w:color w:val="000000"/>
          <w:sz w:val="22"/>
          <w:szCs w:val="22"/>
        </w:rPr>
        <w:t>4)</w:t>
      </w:r>
      <w:r w:rsidR="005D01F2">
        <w:rPr>
          <w:rFonts w:ascii="Arial" w:hAnsi="Arial" w:cs="Arial"/>
          <w:bCs/>
          <w:color w:val="000000"/>
          <w:sz w:val="22"/>
          <w:szCs w:val="22"/>
        </w:rPr>
        <w:t xml:space="preserve"> </w:t>
      </w:r>
      <w:r w:rsidR="000638EE" w:rsidRPr="00216D38">
        <w:rPr>
          <w:rFonts w:ascii="Arial" w:hAnsi="Arial" w:cs="Arial"/>
          <w:bCs/>
          <w:color w:val="000000"/>
          <w:sz w:val="22"/>
          <w:szCs w:val="22"/>
        </w:rPr>
        <w:t>Jumlah anggota keluarga memperkuat pengaruh belanja pangan terhadap konsumsi pangan.</w:t>
      </w:r>
      <w:r w:rsidR="00CD49A5">
        <w:rPr>
          <w:rFonts w:ascii="Arial" w:hAnsi="Arial" w:cs="Arial"/>
          <w:bCs/>
          <w:color w:val="000000"/>
          <w:sz w:val="22"/>
          <w:szCs w:val="22"/>
        </w:rPr>
        <w:t xml:space="preserve"> </w:t>
      </w:r>
      <w:r w:rsidR="009578EB">
        <w:rPr>
          <w:rFonts w:ascii="Arial" w:hAnsi="Arial" w:cs="Arial"/>
          <w:bCs/>
          <w:color w:val="000000"/>
          <w:sz w:val="22"/>
          <w:szCs w:val="22"/>
        </w:rPr>
        <w:t>Rincian variabel laten, indikator pada masing</w:t>
      </w:r>
      <w:r w:rsidR="00FF0660">
        <w:rPr>
          <w:rFonts w:ascii="Arial" w:hAnsi="Arial" w:cs="Arial"/>
          <w:bCs/>
          <w:color w:val="000000"/>
          <w:sz w:val="22"/>
          <w:szCs w:val="22"/>
        </w:rPr>
        <w:t>-masing variabel laten dan satuan ukuran indikator disajikan pada Tabel 1.</w:t>
      </w:r>
    </w:p>
    <w:p w:rsidR="00E110B1" w:rsidRDefault="00E110B1" w:rsidP="00E110B1">
      <w:pPr>
        <w:spacing w:after="0" w:line="240" w:lineRule="auto"/>
        <w:jc w:val="both"/>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E110B1" w:rsidRDefault="00E110B1" w:rsidP="004F445E">
      <w:pPr>
        <w:spacing w:after="0" w:line="240" w:lineRule="auto"/>
        <w:jc w:val="center"/>
        <w:rPr>
          <w:rFonts w:ascii="Arial" w:eastAsia="Times New Roman" w:hAnsi="Arial" w:cs="Arial"/>
          <w:b/>
          <w:color w:val="000000"/>
          <w:lang w:val="en-US"/>
        </w:rPr>
      </w:pPr>
    </w:p>
    <w:p w:rsidR="003373C5" w:rsidRPr="004F445E" w:rsidRDefault="004F445E" w:rsidP="004F445E">
      <w:pPr>
        <w:spacing w:after="0" w:line="240" w:lineRule="auto"/>
        <w:jc w:val="center"/>
        <w:rPr>
          <w:rFonts w:ascii="Arial" w:eastAsia="Times New Roman" w:hAnsi="Arial" w:cs="Arial"/>
          <w:b/>
          <w:color w:val="000000"/>
          <w:lang w:val="en-US"/>
        </w:rPr>
      </w:pPr>
      <w:r w:rsidRPr="004F445E">
        <w:rPr>
          <w:rFonts w:ascii="Arial" w:eastAsia="Times New Roman" w:hAnsi="Arial" w:cs="Arial"/>
          <w:b/>
          <w:color w:val="000000"/>
          <w:lang w:val="en-US"/>
        </w:rPr>
        <w:lastRenderedPageBreak/>
        <w:t>Tabel 1</w:t>
      </w:r>
    </w:p>
    <w:p w:rsidR="004F445E" w:rsidRPr="004F445E" w:rsidRDefault="004F445E" w:rsidP="004F445E">
      <w:pPr>
        <w:spacing w:after="0" w:line="240" w:lineRule="auto"/>
        <w:jc w:val="center"/>
        <w:rPr>
          <w:rFonts w:ascii="Arial" w:eastAsia="Times New Roman" w:hAnsi="Arial" w:cs="Arial"/>
          <w:b/>
          <w:color w:val="000000"/>
          <w:lang w:val="en-US"/>
        </w:rPr>
      </w:pPr>
      <w:r w:rsidRPr="004F445E">
        <w:rPr>
          <w:rFonts w:ascii="Arial" w:eastAsia="Times New Roman" w:hAnsi="Arial" w:cs="Arial"/>
          <w:b/>
          <w:color w:val="000000"/>
          <w:lang w:val="en-US"/>
        </w:rPr>
        <w:t>Variabel laten dan indikator dalam model PLS-SEM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526"/>
        <w:gridCol w:w="1559"/>
        <w:gridCol w:w="3969"/>
        <w:gridCol w:w="1100"/>
      </w:tblGrid>
      <w:tr w:rsidR="00046C47" w:rsidRPr="00587E06" w:rsidTr="00587E06">
        <w:tc>
          <w:tcPr>
            <w:tcW w:w="1526" w:type="dxa"/>
            <w:tcBorders>
              <w:bottom w:val="single" w:sz="4" w:space="0" w:color="auto"/>
            </w:tcBorders>
          </w:tcPr>
          <w:p w:rsidR="00046C47"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Nama variabel laten</w:t>
            </w:r>
            <w:r w:rsidR="00587E06">
              <w:rPr>
                <w:rFonts w:ascii="Arial" w:eastAsia="Times New Roman" w:hAnsi="Arial" w:cs="Arial"/>
                <w:color w:val="000000"/>
                <w:sz w:val="20"/>
                <w:szCs w:val="20"/>
                <w:lang w:val="en-US"/>
              </w:rPr>
              <w:t>*</w:t>
            </w:r>
          </w:p>
        </w:tc>
        <w:tc>
          <w:tcPr>
            <w:tcW w:w="1559" w:type="dxa"/>
            <w:tcBorders>
              <w:bottom w:val="single" w:sz="4" w:space="0" w:color="auto"/>
            </w:tcBorders>
          </w:tcPr>
          <w:p w:rsidR="00046C47"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Nama Indikator</w:t>
            </w:r>
            <w:r w:rsidR="00587E06">
              <w:rPr>
                <w:rFonts w:ascii="Arial" w:eastAsia="Times New Roman" w:hAnsi="Arial" w:cs="Arial"/>
                <w:color w:val="000000"/>
                <w:sz w:val="20"/>
                <w:szCs w:val="20"/>
                <w:lang w:val="en-US"/>
              </w:rPr>
              <w:t>*</w:t>
            </w:r>
          </w:p>
        </w:tc>
        <w:tc>
          <w:tcPr>
            <w:tcW w:w="3969" w:type="dxa"/>
            <w:tcBorders>
              <w:bottom w:val="single" w:sz="4" w:space="0" w:color="auto"/>
            </w:tcBorders>
          </w:tcPr>
          <w:p w:rsidR="00046C47"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Keterangan</w:t>
            </w:r>
          </w:p>
        </w:tc>
        <w:tc>
          <w:tcPr>
            <w:tcW w:w="1100" w:type="dxa"/>
            <w:tcBorders>
              <w:bottom w:val="single" w:sz="4" w:space="0" w:color="auto"/>
            </w:tcBorders>
          </w:tcPr>
          <w:p w:rsidR="00046C47"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Satuan</w:t>
            </w:r>
          </w:p>
        </w:tc>
      </w:tr>
      <w:tr w:rsidR="00046C47" w:rsidRPr="00587E06" w:rsidTr="00587E06">
        <w:tc>
          <w:tcPr>
            <w:tcW w:w="1526" w:type="dxa"/>
            <w:tcBorders>
              <w:top w:val="single" w:sz="4" w:space="0" w:color="auto"/>
              <w:bottom w:val="nil"/>
            </w:tcBorders>
          </w:tcPr>
          <w:p w:rsidR="00046C47" w:rsidRPr="00587E06" w:rsidRDefault="00BF3685" w:rsidP="00BF3685">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Usahatan</w:t>
            </w:r>
          </w:p>
        </w:tc>
        <w:tc>
          <w:tcPr>
            <w:tcW w:w="1559" w:type="dxa"/>
            <w:tcBorders>
              <w:top w:val="single" w:sz="4" w:space="0" w:color="auto"/>
              <w:bottom w:val="nil"/>
            </w:tcBorders>
          </w:tcPr>
          <w:p w:rsidR="00046C47" w:rsidRPr="00587E06" w:rsidRDefault="00046C47" w:rsidP="00BF3685">
            <w:pPr>
              <w:spacing w:after="0" w:line="240" w:lineRule="auto"/>
              <w:jc w:val="both"/>
              <w:rPr>
                <w:rFonts w:ascii="Arial" w:eastAsia="Times New Roman" w:hAnsi="Arial" w:cs="Arial"/>
                <w:color w:val="000000"/>
                <w:sz w:val="20"/>
                <w:szCs w:val="20"/>
                <w:lang w:val="en-US"/>
              </w:rPr>
            </w:pPr>
          </w:p>
        </w:tc>
        <w:tc>
          <w:tcPr>
            <w:tcW w:w="3969" w:type="dxa"/>
            <w:tcBorders>
              <w:top w:val="single" w:sz="4" w:space="0" w:color="auto"/>
              <w:bottom w:val="nil"/>
            </w:tcBorders>
          </w:tcPr>
          <w:p w:rsidR="00046C47" w:rsidRPr="00587E06" w:rsidRDefault="00BF3685" w:rsidP="00BF3685">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Usahatani</w:t>
            </w:r>
          </w:p>
        </w:tc>
        <w:tc>
          <w:tcPr>
            <w:tcW w:w="1100" w:type="dxa"/>
            <w:tcBorders>
              <w:top w:val="single" w:sz="4" w:space="0" w:color="auto"/>
              <w:bottom w:val="nil"/>
            </w:tcBorders>
          </w:tcPr>
          <w:p w:rsidR="00046C47"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w:t>
            </w:r>
          </w:p>
        </w:tc>
      </w:tr>
      <w:tr w:rsidR="00BF3685" w:rsidRPr="00587E06" w:rsidTr="00587E06">
        <w:tc>
          <w:tcPr>
            <w:tcW w:w="1526"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Luas</w:t>
            </w:r>
          </w:p>
        </w:tc>
        <w:tc>
          <w:tcPr>
            <w:tcW w:w="396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Luas kepemilikan lahan</w:t>
            </w:r>
          </w:p>
        </w:tc>
        <w:tc>
          <w:tcPr>
            <w:tcW w:w="1100" w:type="dxa"/>
            <w:tcBorders>
              <w:top w:val="nil"/>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Ha</w:t>
            </w:r>
          </w:p>
        </w:tc>
      </w:tr>
      <w:tr w:rsidR="00BF3685" w:rsidRPr="00587E06" w:rsidTr="00135169">
        <w:tc>
          <w:tcPr>
            <w:tcW w:w="1526"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UT-musim</w:t>
            </w:r>
          </w:p>
        </w:tc>
        <w:tc>
          <w:tcPr>
            <w:tcW w:w="396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Pendapatan usahatani per musim</w:t>
            </w:r>
          </w:p>
        </w:tc>
        <w:tc>
          <w:tcPr>
            <w:tcW w:w="1100" w:type="dxa"/>
            <w:tcBorders>
              <w:bottom w:val="single" w:sz="4" w:space="0" w:color="auto"/>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135169">
        <w:tc>
          <w:tcPr>
            <w:tcW w:w="1526"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NonFarm</w:t>
            </w:r>
          </w:p>
        </w:tc>
        <w:tc>
          <w:tcPr>
            <w:tcW w:w="1559"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3969"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Pendapatan non usahatani</w:t>
            </w:r>
          </w:p>
        </w:tc>
        <w:tc>
          <w:tcPr>
            <w:tcW w:w="1100" w:type="dxa"/>
            <w:tcBorders>
              <w:top w:val="single" w:sz="4" w:space="0" w:color="auto"/>
              <w:bottom w:val="nil"/>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w:t>
            </w:r>
          </w:p>
        </w:tc>
      </w:tr>
      <w:tr w:rsidR="00BF3685" w:rsidRPr="00587E06" w:rsidTr="00135169">
        <w:tc>
          <w:tcPr>
            <w:tcW w:w="1526"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B-tani</w:t>
            </w:r>
          </w:p>
        </w:tc>
        <w:tc>
          <w:tcPr>
            <w:tcW w:w="396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Pendapatan buruh tani per bulan</w:t>
            </w:r>
          </w:p>
        </w:tc>
        <w:tc>
          <w:tcPr>
            <w:tcW w:w="1100" w:type="dxa"/>
            <w:tcBorders>
              <w:top w:val="nil"/>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135169">
        <w:tc>
          <w:tcPr>
            <w:tcW w:w="1526"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NonFarm</w:t>
            </w:r>
          </w:p>
        </w:tc>
        <w:tc>
          <w:tcPr>
            <w:tcW w:w="396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Pendapatan non pertanian per bulan</w:t>
            </w:r>
          </w:p>
        </w:tc>
        <w:tc>
          <w:tcPr>
            <w:tcW w:w="1100" w:type="dxa"/>
            <w:tcBorders>
              <w:bottom w:val="single" w:sz="4" w:space="0" w:color="auto"/>
            </w:tcBorders>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135169">
        <w:tc>
          <w:tcPr>
            <w:tcW w:w="1526"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w:t>
            </w:r>
          </w:p>
        </w:tc>
        <w:tc>
          <w:tcPr>
            <w:tcW w:w="1559"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3969" w:type="dxa"/>
            <w:tcBorders>
              <w:top w:val="single" w:sz="4" w:space="0" w:color="auto"/>
              <w:bottom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Nilai belenja pangan</w:t>
            </w:r>
          </w:p>
        </w:tc>
        <w:tc>
          <w:tcPr>
            <w:tcW w:w="1100" w:type="dxa"/>
            <w:tcBorders>
              <w:top w:val="single" w:sz="4" w:space="0" w:color="auto"/>
              <w:bottom w:val="nil"/>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w:t>
            </w:r>
          </w:p>
        </w:tc>
      </w:tr>
      <w:tr w:rsidR="00BF3685" w:rsidRPr="00587E06" w:rsidTr="00135169">
        <w:tc>
          <w:tcPr>
            <w:tcW w:w="1526"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Beras_Mg</w:t>
            </w:r>
          </w:p>
        </w:tc>
        <w:tc>
          <w:tcPr>
            <w:tcW w:w="3969" w:type="dxa"/>
            <w:tcBorders>
              <w:top w:val="nil"/>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beras per minggu</w:t>
            </w:r>
          </w:p>
        </w:tc>
        <w:tc>
          <w:tcPr>
            <w:tcW w:w="1100" w:type="dxa"/>
            <w:tcBorders>
              <w:top w:val="nil"/>
            </w:tcBorders>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587E06">
        <w:tc>
          <w:tcPr>
            <w:tcW w:w="1526"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Hewani_Mg</w:t>
            </w:r>
          </w:p>
        </w:tc>
        <w:tc>
          <w:tcPr>
            <w:tcW w:w="396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protein hewani per minggu</w:t>
            </w:r>
          </w:p>
        </w:tc>
        <w:tc>
          <w:tcPr>
            <w:tcW w:w="1100" w:type="dxa"/>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587E06">
        <w:tc>
          <w:tcPr>
            <w:tcW w:w="1526"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Nabati_Mg</w:t>
            </w:r>
          </w:p>
        </w:tc>
        <w:tc>
          <w:tcPr>
            <w:tcW w:w="396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protein nabati per minggu</w:t>
            </w:r>
          </w:p>
        </w:tc>
        <w:tc>
          <w:tcPr>
            <w:tcW w:w="1100" w:type="dxa"/>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587E06">
        <w:tc>
          <w:tcPr>
            <w:tcW w:w="1526"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Sayur_Mg</w:t>
            </w:r>
          </w:p>
        </w:tc>
        <w:tc>
          <w:tcPr>
            <w:tcW w:w="396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sayur per minggu</w:t>
            </w:r>
          </w:p>
        </w:tc>
        <w:tc>
          <w:tcPr>
            <w:tcW w:w="1100" w:type="dxa"/>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587E06">
        <w:tc>
          <w:tcPr>
            <w:tcW w:w="1526"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Buah_Mg</w:t>
            </w:r>
          </w:p>
        </w:tc>
        <w:tc>
          <w:tcPr>
            <w:tcW w:w="396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buah per minggu</w:t>
            </w:r>
          </w:p>
        </w:tc>
        <w:tc>
          <w:tcPr>
            <w:tcW w:w="1100" w:type="dxa"/>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587E06">
        <w:tc>
          <w:tcPr>
            <w:tcW w:w="1526"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Lemak_Mg</w:t>
            </w:r>
          </w:p>
        </w:tc>
        <w:tc>
          <w:tcPr>
            <w:tcW w:w="3969" w:type="dxa"/>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minyak goreng per minggu</w:t>
            </w:r>
          </w:p>
        </w:tc>
        <w:tc>
          <w:tcPr>
            <w:tcW w:w="1100" w:type="dxa"/>
          </w:tcPr>
          <w:p w:rsidR="00BF3685" w:rsidRPr="00587E06" w:rsidRDefault="00BF3685" w:rsidP="00216D38">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135169">
        <w:tc>
          <w:tcPr>
            <w:tcW w:w="1526"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155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Bumbu_Mg</w:t>
            </w:r>
          </w:p>
        </w:tc>
        <w:tc>
          <w:tcPr>
            <w:tcW w:w="3969" w:type="dxa"/>
            <w:tcBorders>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Belanja bumbu dapur per minggu</w:t>
            </w:r>
          </w:p>
        </w:tc>
        <w:tc>
          <w:tcPr>
            <w:tcW w:w="1100" w:type="dxa"/>
            <w:tcBorders>
              <w:bottom w:val="single" w:sz="4" w:space="0" w:color="auto"/>
            </w:tcBorders>
          </w:tcPr>
          <w:p w:rsidR="00BF3685" w:rsidRPr="00587E06" w:rsidRDefault="00BF3685"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Rp</w:t>
            </w:r>
          </w:p>
        </w:tc>
      </w:tr>
      <w:tr w:rsidR="00BF3685" w:rsidRPr="00587E06" w:rsidTr="00135169">
        <w:tc>
          <w:tcPr>
            <w:tcW w:w="1526" w:type="dxa"/>
            <w:tcBorders>
              <w:top w:val="single" w:sz="4" w:space="0" w:color="auto"/>
              <w:bottom w:val="single" w:sz="4" w:space="0" w:color="auto"/>
            </w:tcBorders>
          </w:tcPr>
          <w:p w:rsidR="00BF3685"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Jml_Kelg</w:t>
            </w:r>
          </w:p>
        </w:tc>
        <w:tc>
          <w:tcPr>
            <w:tcW w:w="1559" w:type="dxa"/>
            <w:tcBorders>
              <w:top w:val="single" w:sz="4" w:space="0" w:color="auto"/>
              <w:bottom w:val="single" w:sz="4" w:space="0" w:color="auto"/>
            </w:tcBorders>
          </w:tcPr>
          <w:p w:rsidR="00BF3685" w:rsidRPr="00587E06" w:rsidRDefault="00BF3685" w:rsidP="00216D38">
            <w:pPr>
              <w:spacing w:after="0" w:line="240" w:lineRule="auto"/>
              <w:jc w:val="both"/>
              <w:rPr>
                <w:rFonts w:ascii="Arial" w:eastAsia="Times New Roman" w:hAnsi="Arial" w:cs="Arial"/>
                <w:color w:val="000000"/>
                <w:sz w:val="20"/>
                <w:szCs w:val="20"/>
                <w:lang w:val="en-US"/>
              </w:rPr>
            </w:pPr>
          </w:p>
        </w:tc>
        <w:tc>
          <w:tcPr>
            <w:tcW w:w="3969" w:type="dxa"/>
            <w:tcBorders>
              <w:top w:val="single" w:sz="4" w:space="0" w:color="auto"/>
              <w:bottom w:val="single" w:sz="4" w:space="0" w:color="auto"/>
            </w:tcBorders>
          </w:tcPr>
          <w:p w:rsidR="00BF3685"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anggota keluarga</w:t>
            </w:r>
          </w:p>
        </w:tc>
        <w:tc>
          <w:tcPr>
            <w:tcW w:w="1100" w:type="dxa"/>
            <w:tcBorders>
              <w:top w:val="single" w:sz="4" w:space="0" w:color="auto"/>
              <w:bottom w:val="single" w:sz="4" w:space="0" w:color="auto"/>
            </w:tcBorders>
          </w:tcPr>
          <w:p w:rsidR="00BF3685"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Orang</w:t>
            </w:r>
          </w:p>
        </w:tc>
      </w:tr>
      <w:tr w:rsidR="004F445E" w:rsidRPr="00587E06" w:rsidTr="00135169">
        <w:tc>
          <w:tcPr>
            <w:tcW w:w="1526" w:type="dxa"/>
            <w:tcBorders>
              <w:top w:val="single" w:sz="4" w:space="0" w:color="auto"/>
              <w:bottom w:val="nil"/>
            </w:tcBorders>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Konsums</w:t>
            </w:r>
          </w:p>
        </w:tc>
        <w:tc>
          <w:tcPr>
            <w:tcW w:w="1559" w:type="dxa"/>
            <w:tcBorders>
              <w:top w:val="single" w:sz="4" w:space="0" w:color="auto"/>
              <w:bottom w:val="nil"/>
            </w:tcBorders>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3969" w:type="dxa"/>
            <w:tcBorders>
              <w:top w:val="single" w:sz="4" w:space="0" w:color="auto"/>
              <w:bottom w:val="nil"/>
            </w:tcBorders>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pangan seminggu</w:t>
            </w:r>
          </w:p>
        </w:tc>
        <w:tc>
          <w:tcPr>
            <w:tcW w:w="1100" w:type="dxa"/>
            <w:tcBorders>
              <w:top w:val="single" w:sz="4" w:space="0" w:color="auto"/>
              <w:bottom w:val="nil"/>
            </w:tcBorders>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w:t>
            </w:r>
          </w:p>
        </w:tc>
      </w:tr>
      <w:tr w:rsidR="004F445E" w:rsidRPr="00587E06" w:rsidTr="00135169">
        <w:tc>
          <w:tcPr>
            <w:tcW w:w="1526" w:type="dxa"/>
            <w:tcBorders>
              <w:top w:val="nil"/>
            </w:tcBorders>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Borders>
              <w:top w:val="nil"/>
            </w:tcBorders>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Beras_Kg</w:t>
            </w:r>
          </w:p>
        </w:tc>
        <w:tc>
          <w:tcPr>
            <w:tcW w:w="3969" w:type="dxa"/>
            <w:tcBorders>
              <w:top w:val="nil"/>
            </w:tcBorders>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 xml:space="preserve">Jumlah konsumsi beras </w:t>
            </w:r>
          </w:p>
        </w:tc>
        <w:tc>
          <w:tcPr>
            <w:tcW w:w="1100" w:type="dxa"/>
            <w:tcBorders>
              <w:top w:val="nil"/>
            </w:tcBorders>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Kg</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Hewani_Kg</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protein hewani</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Kg</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Nabati_Kg</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protein nabati</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Kg</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Sayur_Ikat</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sayuran</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Ikat</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Buah_Kg</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buah</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Kg</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Lemak_Lt</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minyak goreng</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Lt</w:t>
            </w:r>
          </w:p>
        </w:tc>
      </w:tr>
      <w:tr w:rsidR="004F445E" w:rsidRPr="00587E06" w:rsidTr="00587E06">
        <w:tc>
          <w:tcPr>
            <w:tcW w:w="1526"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p>
        </w:tc>
        <w:tc>
          <w:tcPr>
            <w:tcW w:w="1559" w:type="dxa"/>
          </w:tcPr>
          <w:p w:rsidR="004F445E" w:rsidRPr="00587E06" w:rsidRDefault="004F445E" w:rsidP="004F445E">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Bumbu_Kg</w:t>
            </w:r>
          </w:p>
        </w:tc>
        <w:tc>
          <w:tcPr>
            <w:tcW w:w="3969" w:type="dxa"/>
          </w:tcPr>
          <w:p w:rsidR="004F445E" w:rsidRPr="00587E06" w:rsidRDefault="004F445E" w:rsidP="00216D38">
            <w:pPr>
              <w:spacing w:after="0" w:line="240" w:lineRule="auto"/>
              <w:jc w:val="both"/>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Jumlah konsumsi bumbu dapur</w:t>
            </w:r>
          </w:p>
        </w:tc>
        <w:tc>
          <w:tcPr>
            <w:tcW w:w="1100" w:type="dxa"/>
          </w:tcPr>
          <w:p w:rsidR="004F445E" w:rsidRPr="00587E06" w:rsidRDefault="004F445E" w:rsidP="00BF3685">
            <w:pPr>
              <w:spacing w:after="0" w:line="240" w:lineRule="auto"/>
              <w:jc w:val="center"/>
              <w:rPr>
                <w:rFonts w:ascii="Arial" w:eastAsia="Times New Roman" w:hAnsi="Arial" w:cs="Arial"/>
                <w:color w:val="000000"/>
                <w:sz w:val="20"/>
                <w:szCs w:val="20"/>
                <w:lang w:val="en-US"/>
              </w:rPr>
            </w:pPr>
            <w:r w:rsidRPr="00587E06">
              <w:rPr>
                <w:rFonts w:ascii="Arial" w:eastAsia="Times New Roman" w:hAnsi="Arial" w:cs="Arial"/>
                <w:color w:val="000000"/>
                <w:sz w:val="20"/>
                <w:szCs w:val="20"/>
                <w:lang w:val="en-US"/>
              </w:rPr>
              <w:t>Kg</w:t>
            </w:r>
          </w:p>
        </w:tc>
      </w:tr>
    </w:tbl>
    <w:p w:rsidR="00046C47" w:rsidRDefault="00587E06" w:rsidP="00587E06">
      <w:pPr>
        <w:spacing w:after="0" w:line="240" w:lineRule="auto"/>
        <w:jc w:val="both"/>
        <w:rPr>
          <w:rFonts w:ascii="Arial" w:eastAsia="Times New Roman" w:hAnsi="Arial" w:cs="Arial"/>
          <w:color w:val="000000"/>
          <w:lang w:val="en-US"/>
        </w:rPr>
      </w:pPr>
      <w:r>
        <w:rPr>
          <w:rFonts w:ascii="Arial" w:eastAsia="Times New Roman" w:hAnsi="Arial" w:cs="Arial"/>
          <w:color w:val="000000"/>
          <w:lang w:val="en-US"/>
        </w:rPr>
        <w:t>*</w:t>
      </w:r>
      <w:r w:rsidRPr="00587E06">
        <w:rPr>
          <w:rFonts w:ascii="Arial" w:eastAsia="Times New Roman" w:hAnsi="Arial" w:cs="Arial"/>
          <w:color w:val="000000"/>
          <w:lang w:val="en-US"/>
        </w:rPr>
        <w:t>Nama variabel dibatasi delapan karakter sehingga beb</w:t>
      </w:r>
      <w:r w:rsidR="00F72955">
        <w:rPr>
          <w:rFonts w:ascii="Arial" w:eastAsia="Times New Roman" w:hAnsi="Arial" w:cs="Arial"/>
          <w:color w:val="000000"/>
          <w:lang w:val="en-US"/>
        </w:rPr>
        <w:t>e</w:t>
      </w:r>
      <w:r w:rsidRPr="00587E06">
        <w:rPr>
          <w:rFonts w:ascii="Arial" w:eastAsia="Times New Roman" w:hAnsi="Arial" w:cs="Arial"/>
          <w:color w:val="000000"/>
          <w:lang w:val="en-US"/>
        </w:rPr>
        <w:t>rapa harus disingkat</w:t>
      </w:r>
    </w:p>
    <w:p w:rsidR="00587E06" w:rsidRDefault="00587E06" w:rsidP="00717A22">
      <w:pPr>
        <w:autoSpaceDE w:val="0"/>
        <w:autoSpaceDN w:val="0"/>
        <w:adjustRightInd w:val="0"/>
        <w:spacing w:after="120" w:line="240" w:lineRule="auto"/>
        <w:rPr>
          <w:rFonts w:ascii="Arial" w:hAnsi="Arial" w:cs="Arial"/>
          <w:lang w:val="en-US"/>
        </w:rPr>
      </w:pPr>
      <w:r>
        <w:rPr>
          <w:rFonts w:ascii="Arial" w:hAnsi="Arial" w:cs="Arial"/>
          <w:lang w:val="en-US"/>
        </w:rPr>
        <w:t>Sumber: Data Primer Diolah, 2019</w:t>
      </w:r>
    </w:p>
    <w:p w:rsidR="00E110B1" w:rsidRDefault="00E110B1" w:rsidP="00E110B1">
      <w:pPr>
        <w:spacing w:after="0" w:line="240" w:lineRule="auto"/>
        <w:jc w:val="both"/>
        <w:rPr>
          <w:rFonts w:ascii="Arial" w:eastAsia="Times New Roman" w:hAnsi="Arial" w:cs="Arial"/>
          <w:b/>
          <w:color w:val="000000"/>
          <w:lang w:val="en-US"/>
        </w:rPr>
      </w:pPr>
    </w:p>
    <w:p w:rsidR="00E110B1" w:rsidRDefault="00E110B1" w:rsidP="00E110B1">
      <w:pPr>
        <w:spacing w:after="0" w:line="240" w:lineRule="auto"/>
        <w:jc w:val="both"/>
        <w:rPr>
          <w:rFonts w:ascii="Arial" w:eastAsia="Times New Roman" w:hAnsi="Arial" w:cs="Arial"/>
          <w:b/>
          <w:color w:val="000000"/>
          <w:lang w:val="en-US"/>
        </w:rPr>
      </w:pPr>
      <w:r>
        <w:rPr>
          <w:rFonts w:ascii="Arial" w:eastAsia="Times New Roman" w:hAnsi="Arial" w:cs="Arial"/>
          <w:b/>
          <w:color w:val="000000"/>
        </w:rPr>
        <w:t>HASIL DAN PEMBAHASAN</w:t>
      </w:r>
    </w:p>
    <w:p w:rsidR="00E110B1" w:rsidRPr="006442D1" w:rsidRDefault="00E110B1" w:rsidP="00E110B1">
      <w:pPr>
        <w:spacing w:after="0" w:line="240" w:lineRule="auto"/>
        <w:jc w:val="both"/>
        <w:rPr>
          <w:rFonts w:ascii="Arial" w:hAnsi="Arial" w:cs="Arial"/>
          <w:lang w:val="en-US"/>
        </w:rPr>
      </w:pPr>
      <w:r w:rsidRPr="003D73A6">
        <w:rPr>
          <w:rFonts w:ascii="Arial" w:hAnsi="Arial" w:cs="Arial"/>
          <w:lang w:val="en-US"/>
        </w:rPr>
        <w:t xml:space="preserve">Bagian hasil diatur sebagai berikut. Pada bagian awal disajikan karakteristik petani responden dan karakteristik usahatani. Pada bagian inti disajikan sub-bab sesuai tujuan penelitian, yakni pendapatan petani, alokasi belanja konsumsi pangan, dan faktor-faktor yang mempengaruhi konsumsi pangan. </w:t>
      </w:r>
      <w:r>
        <w:rPr>
          <w:rFonts w:ascii="Arial" w:hAnsi="Arial" w:cs="Arial"/>
          <w:lang w:val="en-US"/>
        </w:rPr>
        <w:t>Pembahasan</w:t>
      </w:r>
      <w:r w:rsidRPr="003D73A6">
        <w:rPr>
          <w:rFonts w:ascii="Arial" w:hAnsi="Arial" w:cs="Arial"/>
          <w:lang w:val="en-US"/>
        </w:rPr>
        <w:t xml:space="preserve"> dari masing-masing hasil penelitian disajikan </w:t>
      </w:r>
      <w:r>
        <w:rPr>
          <w:rFonts w:ascii="Arial" w:hAnsi="Arial" w:cs="Arial"/>
          <w:lang w:val="en-US"/>
        </w:rPr>
        <w:t xml:space="preserve">dalam bentuk interpretasi hasil analisis, sitasi </w:t>
      </w:r>
      <w:r>
        <w:rPr>
          <w:rFonts w:ascii="Arial" w:hAnsi="Arial" w:cs="Arial"/>
        </w:rPr>
        <w:t>silang</w:t>
      </w:r>
      <w:r>
        <w:rPr>
          <w:rFonts w:ascii="Arial" w:hAnsi="Arial" w:cs="Arial"/>
          <w:lang w:val="en-US"/>
        </w:rPr>
        <w:t xml:space="preserve"> </w:t>
      </w:r>
      <w:r>
        <w:rPr>
          <w:rFonts w:ascii="Arial" w:hAnsi="Arial" w:cs="Arial"/>
        </w:rPr>
        <w:t xml:space="preserve">dengan </w:t>
      </w:r>
      <w:r>
        <w:rPr>
          <w:rFonts w:ascii="Arial" w:hAnsi="Arial" w:cs="Arial"/>
          <w:lang w:val="en-US"/>
        </w:rPr>
        <w:t xml:space="preserve">studi </w:t>
      </w:r>
      <w:r>
        <w:rPr>
          <w:rFonts w:ascii="Arial" w:hAnsi="Arial" w:cs="Arial"/>
        </w:rPr>
        <w:t>teori</w:t>
      </w:r>
      <w:r>
        <w:rPr>
          <w:rFonts w:ascii="Arial" w:hAnsi="Arial" w:cs="Arial"/>
          <w:lang w:val="en-US"/>
        </w:rPr>
        <w:t>tik</w:t>
      </w:r>
      <w:r>
        <w:rPr>
          <w:rFonts w:ascii="Arial" w:hAnsi="Arial" w:cs="Arial"/>
        </w:rPr>
        <w:t xml:space="preserve"> </w:t>
      </w:r>
      <w:r>
        <w:rPr>
          <w:rFonts w:ascii="Arial" w:hAnsi="Arial" w:cs="Arial"/>
          <w:lang w:val="en-US"/>
        </w:rPr>
        <w:t>dan</w:t>
      </w:r>
      <w:r>
        <w:rPr>
          <w:rFonts w:ascii="Arial" w:hAnsi="Arial" w:cs="Arial"/>
        </w:rPr>
        <w:t xml:space="preserve"> studi empiri</w:t>
      </w:r>
      <w:r>
        <w:rPr>
          <w:rFonts w:ascii="Arial" w:hAnsi="Arial" w:cs="Arial"/>
          <w:lang w:val="en-US"/>
        </w:rPr>
        <w:t>k terdahulu. Pembahasan dituliskan menyatu pada masing-masing sub-bab hasil analisis.</w:t>
      </w:r>
    </w:p>
    <w:p w:rsidR="00FF0660" w:rsidRDefault="00FF0660" w:rsidP="0027611A">
      <w:pPr>
        <w:spacing w:after="0" w:line="240" w:lineRule="auto"/>
        <w:jc w:val="both"/>
        <w:rPr>
          <w:rFonts w:ascii="Arial" w:hAnsi="Arial" w:cs="Arial"/>
          <w:lang w:val="en-US"/>
        </w:rPr>
      </w:pPr>
    </w:p>
    <w:p w:rsidR="00FF0660" w:rsidRPr="00FF0660" w:rsidRDefault="00CA5492" w:rsidP="0027611A">
      <w:pPr>
        <w:spacing w:after="0" w:line="240" w:lineRule="auto"/>
        <w:jc w:val="both"/>
        <w:rPr>
          <w:rFonts w:ascii="Arial" w:hAnsi="Arial" w:cs="Arial"/>
          <w:b/>
          <w:lang w:val="en-US"/>
        </w:rPr>
      </w:pPr>
      <w:r>
        <w:rPr>
          <w:rFonts w:ascii="Arial" w:hAnsi="Arial" w:cs="Arial"/>
          <w:b/>
          <w:lang w:val="en-US"/>
        </w:rPr>
        <w:t>Karakteristik P</w:t>
      </w:r>
      <w:r w:rsidR="00FF0660" w:rsidRPr="00FF0660">
        <w:rPr>
          <w:rFonts w:ascii="Arial" w:hAnsi="Arial" w:cs="Arial"/>
          <w:b/>
          <w:lang w:val="en-US"/>
        </w:rPr>
        <w:t>etani</w:t>
      </w:r>
      <w:r w:rsidR="003D73A6">
        <w:rPr>
          <w:rFonts w:ascii="Arial" w:hAnsi="Arial" w:cs="Arial"/>
          <w:b/>
          <w:lang w:val="en-US"/>
        </w:rPr>
        <w:t xml:space="preserve"> Reponden</w:t>
      </w:r>
    </w:p>
    <w:p w:rsidR="00342111" w:rsidRDefault="00512A9F" w:rsidP="00FF0660">
      <w:pPr>
        <w:spacing w:after="0"/>
        <w:jc w:val="both"/>
        <w:rPr>
          <w:rFonts w:ascii="Arial" w:hAnsi="Arial" w:cs="Arial"/>
          <w:lang w:val="en-US"/>
        </w:rPr>
      </w:pPr>
      <w:r w:rsidRPr="00FF0660">
        <w:rPr>
          <w:rFonts w:ascii="Arial" w:hAnsi="Arial" w:cs="Arial"/>
          <w:lang w:val="en-US"/>
        </w:rPr>
        <w:t>Tabel 1 menunjukkan b</w:t>
      </w:r>
      <w:r w:rsidR="00B154DF">
        <w:rPr>
          <w:rFonts w:ascii="Arial" w:hAnsi="Arial" w:cs="Arial"/>
          <w:lang w:val="en-US"/>
        </w:rPr>
        <w:t>ahwa rata-rata petani beru</w:t>
      </w:r>
      <w:r w:rsidR="00793E2F">
        <w:rPr>
          <w:rFonts w:ascii="Arial" w:hAnsi="Arial" w:cs="Arial"/>
          <w:lang w:val="en-US"/>
        </w:rPr>
        <w:t>mur</w:t>
      </w:r>
      <w:r w:rsidR="00B154DF">
        <w:rPr>
          <w:rFonts w:ascii="Arial" w:hAnsi="Arial" w:cs="Arial"/>
          <w:lang w:val="en-US"/>
        </w:rPr>
        <w:t xml:space="preserve"> 48</w:t>
      </w:r>
      <w:r w:rsidRPr="00FF0660">
        <w:rPr>
          <w:rFonts w:ascii="Arial" w:hAnsi="Arial" w:cs="Arial"/>
          <w:lang w:val="en-US"/>
        </w:rPr>
        <w:t xml:space="preserve"> tahun. Kisaran u</w:t>
      </w:r>
      <w:r w:rsidR="00793E2F">
        <w:rPr>
          <w:rFonts w:ascii="Arial" w:hAnsi="Arial" w:cs="Arial"/>
          <w:lang w:val="en-US"/>
        </w:rPr>
        <w:t>mur</w:t>
      </w:r>
      <w:r w:rsidR="0044466F">
        <w:rPr>
          <w:rFonts w:ascii="Arial" w:hAnsi="Arial" w:cs="Arial"/>
          <w:lang w:val="en-US"/>
        </w:rPr>
        <w:t xml:space="preserve"> terbanyak adalah 45</w:t>
      </w:r>
      <w:r>
        <w:rPr>
          <w:rFonts w:ascii="Arial" w:hAnsi="Arial" w:cs="Arial"/>
          <w:lang w:val="en-US"/>
        </w:rPr>
        <w:t xml:space="preserve"> hingga </w:t>
      </w:r>
      <w:r w:rsidR="0044466F">
        <w:rPr>
          <w:rFonts w:ascii="Arial" w:hAnsi="Arial" w:cs="Arial"/>
          <w:lang w:val="en-US"/>
        </w:rPr>
        <w:t>54</w:t>
      </w:r>
      <w:r>
        <w:rPr>
          <w:rFonts w:ascii="Arial" w:hAnsi="Arial" w:cs="Arial"/>
          <w:lang w:val="en-US"/>
        </w:rPr>
        <w:t xml:space="preserve"> tahun</w:t>
      </w:r>
      <w:r w:rsidR="00793E2F">
        <w:rPr>
          <w:rFonts w:ascii="Arial" w:hAnsi="Arial" w:cs="Arial"/>
          <w:lang w:val="en-US"/>
        </w:rPr>
        <w:t>, yakni sebanyak 43%</w:t>
      </w:r>
      <w:r>
        <w:rPr>
          <w:rFonts w:ascii="Arial" w:hAnsi="Arial" w:cs="Arial"/>
          <w:lang w:val="en-US"/>
        </w:rPr>
        <w:t xml:space="preserve">. </w:t>
      </w:r>
      <w:r w:rsidR="0044466F">
        <w:rPr>
          <w:rFonts w:ascii="Arial" w:hAnsi="Arial" w:cs="Arial"/>
          <w:lang w:val="en-US"/>
        </w:rPr>
        <w:t>Sebaran u</w:t>
      </w:r>
      <w:r w:rsidR="00793E2F">
        <w:rPr>
          <w:rFonts w:ascii="Arial" w:hAnsi="Arial" w:cs="Arial"/>
          <w:lang w:val="en-US"/>
        </w:rPr>
        <w:t>mur</w:t>
      </w:r>
      <w:r w:rsidR="0044466F">
        <w:rPr>
          <w:rFonts w:ascii="Arial" w:hAnsi="Arial" w:cs="Arial"/>
          <w:lang w:val="en-US"/>
        </w:rPr>
        <w:t xml:space="preserve"> petani merujuk pada </w:t>
      </w:r>
      <w:r w:rsidR="0044466F" w:rsidRPr="0044466F">
        <w:rPr>
          <w:rFonts w:ascii="Arial" w:hAnsi="Arial" w:cs="Arial"/>
        </w:rPr>
        <w:t>Hasil Survei Pertanian Antar Sensus (SUTAS) 2018</w:t>
      </w:r>
      <w:r w:rsidR="00793E2F">
        <w:rPr>
          <w:rFonts w:ascii="Arial" w:hAnsi="Arial" w:cs="Arial"/>
          <w:lang w:val="en-US"/>
        </w:rPr>
        <w:t xml:space="preserve"> pada kelompok umur petani utama</w:t>
      </w:r>
      <w:r w:rsidR="0044466F" w:rsidRPr="0044466F">
        <w:rPr>
          <w:rFonts w:ascii="Arial" w:hAnsi="Arial" w:cs="Arial"/>
          <w:lang w:val="en-US"/>
        </w:rPr>
        <w:t>.</w:t>
      </w:r>
      <w:r w:rsidR="0044466F">
        <w:rPr>
          <w:rFonts w:ascii="Arial" w:hAnsi="Arial" w:cs="Arial"/>
          <w:lang w:val="en-US"/>
        </w:rPr>
        <w:t xml:space="preserve"> </w:t>
      </w:r>
      <w:r w:rsidR="00793E2F">
        <w:rPr>
          <w:rFonts w:ascii="Arial" w:hAnsi="Arial" w:cs="Arial"/>
          <w:lang w:val="en-US"/>
        </w:rPr>
        <w:t xml:space="preserve">Berdasarkan SUTAS 2018 kelompok umur petani utama di Jawa Timur adalah umur 45-54 tahun sejumlah 35,33% dan umur &gt; 54 tahun sejumlah 50,97% </w:t>
      </w:r>
      <w:r w:rsidR="00B94BBB">
        <w:rPr>
          <w:rFonts w:ascii="Arial" w:hAnsi="Arial" w:cs="Arial"/>
          <w:lang w:val="en-US"/>
        </w:rPr>
        <w:fldChar w:fldCharType="begin" w:fldLock="1"/>
      </w:r>
      <w:r w:rsidR="00793E2F">
        <w:rPr>
          <w:rFonts w:ascii="Arial" w:hAnsi="Arial" w:cs="Arial"/>
          <w:lang w:val="en-US"/>
        </w:rPr>
        <w:instrText>ADDIN CSL_CITATION { "citationItems" : [ { "id" : "ITEM-1", "itemData" : { "ISBN" : "9786024382551", "author" : [ { "dropping-particle" : "", "family" : "Badan-Pusat-Statistik", "given" : "", "non-dropping-particle" : "", "parse-names" : false, "suffix" : "" } ], "id" : "ITEM-1", "issued" : { "date-parts" : [ [ "2018" ] ] }, "publisher" : "\u00a9 Badan Pusat Statistik / BPS-Statistics Indonesia Pencetak / Printed by : Badan Pusat Statistik / BPS-Statistics Indonesia Sumber Ilustrasi / Graphics by : freepik.com, flaticon.com, vecteezy.com, s.bps.go.id/LinkCoverSUTAS-A1, s.bps.go.id/LinkCoverSUTAS", "title" : "Hasil Survei Pertanian Antar Sensus (SUTAS) 2018 The Result of Inter-Cencus Agricultural Survey", "type" : "book" }, "locator" : "25", "uris" : [ "http://www.mendeley.com/documents/?uuid=8f735e18-b939-4157-9550-e9b834f6b99f" ] } ], "mendeley" : { "formattedCitation" : "(Badan-Pusat-Statistik, 2018, p. 25)", "plainTextFormattedCitation" : "(Badan-Pusat-Statistik, 2018, p. 25)", "previouslyFormattedCitation" : "(Badan-Pusat-Statistik, 2018, p. 25)" }, "properties" : {  }, "schema" : "https://github.com/citation-style-language/schema/raw/master/csl-citation.json" }</w:instrText>
      </w:r>
      <w:r w:rsidR="00B94BBB">
        <w:rPr>
          <w:rFonts w:ascii="Arial" w:hAnsi="Arial" w:cs="Arial"/>
          <w:lang w:val="en-US"/>
        </w:rPr>
        <w:fldChar w:fldCharType="separate"/>
      </w:r>
      <w:r w:rsidR="00793E2F" w:rsidRPr="00793E2F">
        <w:rPr>
          <w:rFonts w:ascii="Arial" w:hAnsi="Arial" w:cs="Arial"/>
          <w:noProof/>
          <w:lang w:val="en-US"/>
        </w:rPr>
        <w:t>(Badan-Pusat-Statistik, 2018, p. 25)</w:t>
      </w:r>
      <w:r w:rsidR="00B94BBB">
        <w:rPr>
          <w:rFonts w:ascii="Arial" w:hAnsi="Arial" w:cs="Arial"/>
          <w:lang w:val="en-US"/>
        </w:rPr>
        <w:fldChar w:fldCharType="end"/>
      </w:r>
      <w:r w:rsidR="00793E2F">
        <w:rPr>
          <w:rFonts w:ascii="Arial" w:hAnsi="Arial" w:cs="Arial"/>
          <w:lang w:val="en-US"/>
        </w:rPr>
        <w:t xml:space="preserve">. </w:t>
      </w:r>
      <w:r w:rsidR="00342111">
        <w:rPr>
          <w:rFonts w:ascii="Arial" w:hAnsi="Arial" w:cs="Arial"/>
          <w:lang w:val="en-US"/>
        </w:rPr>
        <w:t xml:space="preserve">Jadi sebaran umur petani responden </w:t>
      </w:r>
      <w:r>
        <w:rPr>
          <w:rFonts w:ascii="Arial" w:hAnsi="Arial" w:cs="Arial"/>
          <w:lang w:val="en-US"/>
        </w:rPr>
        <w:t>dalam kategori BPS adalah usia dewasa akhir</w:t>
      </w:r>
      <w:r w:rsidR="00342111">
        <w:rPr>
          <w:rFonts w:ascii="Arial" w:hAnsi="Arial" w:cs="Arial"/>
          <w:lang w:val="en-US"/>
        </w:rPr>
        <w:t>, namun relatif lebih muda dibandingkan sebaran umur petani di Jawa Timur</w:t>
      </w:r>
      <w:r>
        <w:rPr>
          <w:rFonts w:ascii="Arial" w:hAnsi="Arial" w:cs="Arial"/>
          <w:lang w:val="en-US"/>
        </w:rPr>
        <w:t xml:space="preserve">. </w:t>
      </w:r>
    </w:p>
    <w:p w:rsidR="005E1F42" w:rsidRDefault="005E1F42" w:rsidP="007C7708">
      <w:pPr>
        <w:spacing w:after="0" w:line="240" w:lineRule="auto"/>
        <w:jc w:val="center"/>
        <w:rPr>
          <w:rFonts w:ascii="Arial" w:eastAsia="Times New Roman" w:hAnsi="Arial" w:cs="Arial"/>
          <w:b/>
          <w:color w:val="000000"/>
          <w:lang w:val="en-US"/>
        </w:rPr>
      </w:pPr>
    </w:p>
    <w:p w:rsidR="00E110B1" w:rsidRDefault="00E110B1" w:rsidP="007C7708">
      <w:pPr>
        <w:spacing w:after="0" w:line="240" w:lineRule="auto"/>
        <w:jc w:val="center"/>
        <w:rPr>
          <w:rFonts w:ascii="Arial" w:eastAsia="Times New Roman" w:hAnsi="Arial" w:cs="Arial"/>
          <w:b/>
          <w:color w:val="000000"/>
          <w:lang w:val="en-US"/>
        </w:rPr>
      </w:pPr>
    </w:p>
    <w:p w:rsidR="00E110B1" w:rsidRDefault="00E110B1" w:rsidP="007C7708">
      <w:pPr>
        <w:spacing w:after="0" w:line="240" w:lineRule="auto"/>
        <w:jc w:val="center"/>
        <w:rPr>
          <w:rFonts w:ascii="Arial" w:eastAsia="Times New Roman" w:hAnsi="Arial" w:cs="Arial"/>
          <w:b/>
          <w:color w:val="000000"/>
          <w:lang w:val="en-US"/>
        </w:rPr>
      </w:pPr>
    </w:p>
    <w:p w:rsidR="007C7708" w:rsidRPr="004F445E" w:rsidRDefault="007C7708" w:rsidP="007C7708">
      <w:pPr>
        <w:spacing w:after="0" w:line="240" w:lineRule="auto"/>
        <w:jc w:val="center"/>
        <w:rPr>
          <w:rFonts w:ascii="Arial" w:eastAsia="Times New Roman" w:hAnsi="Arial" w:cs="Arial"/>
          <w:b/>
          <w:color w:val="000000"/>
          <w:lang w:val="en-US"/>
        </w:rPr>
      </w:pPr>
      <w:r w:rsidRPr="004F445E">
        <w:rPr>
          <w:rFonts w:ascii="Arial" w:eastAsia="Times New Roman" w:hAnsi="Arial" w:cs="Arial"/>
          <w:b/>
          <w:color w:val="000000"/>
          <w:lang w:val="en-US"/>
        </w:rPr>
        <w:lastRenderedPageBreak/>
        <w:t xml:space="preserve">Tabel </w:t>
      </w:r>
      <w:r>
        <w:rPr>
          <w:rFonts w:ascii="Arial" w:eastAsia="Times New Roman" w:hAnsi="Arial" w:cs="Arial"/>
          <w:b/>
          <w:color w:val="000000"/>
          <w:lang w:val="en-US"/>
        </w:rPr>
        <w:t>2</w:t>
      </w:r>
    </w:p>
    <w:p w:rsidR="00961DF8" w:rsidRPr="00575F69" w:rsidRDefault="00961DF8" w:rsidP="00961DF8">
      <w:pPr>
        <w:spacing w:after="0" w:line="240" w:lineRule="auto"/>
        <w:jc w:val="center"/>
        <w:rPr>
          <w:rFonts w:ascii="Arial" w:hAnsi="Arial" w:cs="Arial"/>
          <w:b/>
        </w:rPr>
      </w:pPr>
      <w:r w:rsidRPr="00575F69">
        <w:rPr>
          <w:rFonts w:ascii="Arial" w:hAnsi="Arial" w:cs="Arial"/>
          <w:b/>
        </w:rPr>
        <w:t xml:space="preserve">Karakteristik Petani Sekitar </w:t>
      </w:r>
      <w:r>
        <w:rPr>
          <w:rFonts w:ascii="Arial" w:hAnsi="Arial" w:cs="Arial"/>
          <w:b/>
        </w:rPr>
        <w:t>“</w:t>
      </w:r>
      <w:r w:rsidRPr="00575F69">
        <w:rPr>
          <w:rFonts w:ascii="Arial" w:hAnsi="Arial" w:cs="Arial"/>
          <w:b/>
        </w:rPr>
        <w:t>Waduk Pacal</w:t>
      </w:r>
      <w:r>
        <w:rPr>
          <w:rFonts w:ascii="Arial" w:hAnsi="Arial" w:cs="Arial"/>
          <w: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503"/>
        <w:gridCol w:w="1701"/>
        <w:gridCol w:w="1950"/>
      </w:tblGrid>
      <w:tr w:rsidR="006A68F2" w:rsidRPr="00575F69" w:rsidTr="00666160">
        <w:tc>
          <w:tcPr>
            <w:tcW w:w="4503" w:type="dxa"/>
            <w:tcBorders>
              <w:bottom w:val="single" w:sz="4" w:space="0" w:color="auto"/>
            </w:tcBorders>
          </w:tcPr>
          <w:p w:rsidR="006A68F2" w:rsidRPr="00575F69" w:rsidRDefault="006A68F2"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Karakteristik petani responden</w:t>
            </w:r>
          </w:p>
        </w:tc>
        <w:tc>
          <w:tcPr>
            <w:tcW w:w="1701" w:type="dxa"/>
            <w:tcBorders>
              <w:bottom w:val="single" w:sz="4" w:space="0" w:color="auto"/>
            </w:tcBorders>
          </w:tcPr>
          <w:p w:rsidR="006A68F2" w:rsidRPr="00575F69" w:rsidRDefault="006A68F2"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Jumlah petani</w:t>
            </w:r>
          </w:p>
        </w:tc>
        <w:tc>
          <w:tcPr>
            <w:tcW w:w="1950" w:type="dxa"/>
            <w:tcBorders>
              <w:bottom w:val="single" w:sz="4" w:space="0" w:color="auto"/>
            </w:tcBorders>
          </w:tcPr>
          <w:p w:rsidR="006A68F2" w:rsidRPr="00575F69" w:rsidRDefault="006A68F2"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Rata-rata</w:t>
            </w:r>
          </w:p>
        </w:tc>
      </w:tr>
      <w:tr w:rsidR="006A68F2" w:rsidRPr="00575F69" w:rsidTr="00666160">
        <w:tc>
          <w:tcPr>
            <w:tcW w:w="4503" w:type="dxa"/>
            <w:tcBorders>
              <w:top w:val="single" w:sz="4" w:space="0" w:color="auto"/>
              <w:bottom w:val="nil"/>
            </w:tcBorders>
          </w:tcPr>
          <w:p w:rsidR="006A68F2" w:rsidRPr="00575F69" w:rsidRDefault="006A68F2"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Usia (tahun)</w:t>
            </w:r>
          </w:p>
        </w:tc>
        <w:tc>
          <w:tcPr>
            <w:tcW w:w="1701" w:type="dxa"/>
            <w:tcBorders>
              <w:top w:val="single" w:sz="4" w:space="0" w:color="auto"/>
              <w:bottom w:val="nil"/>
            </w:tcBorders>
          </w:tcPr>
          <w:p w:rsidR="006A68F2" w:rsidRPr="00575F69" w:rsidRDefault="006A68F2" w:rsidP="006A68F2">
            <w:pPr>
              <w:spacing w:after="0" w:line="240" w:lineRule="auto"/>
              <w:rPr>
                <w:rFonts w:ascii="Arial" w:hAnsi="Arial" w:cs="Arial"/>
                <w:sz w:val="20"/>
                <w:szCs w:val="20"/>
              </w:rPr>
            </w:pPr>
          </w:p>
        </w:tc>
        <w:tc>
          <w:tcPr>
            <w:tcW w:w="1950" w:type="dxa"/>
            <w:tcBorders>
              <w:top w:val="single" w:sz="4" w:space="0" w:color="auto"/>
              <w:bottom w:val="nil"/>
            </w:tcBorders>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Borders>
              <w:top w:val="nil"/>
            </w:tcBorders>
          </w:tcPr>
          <w:p w:rsidR="006A68F2" w:rsidRPr="006714AE" w:rsidRDefault="006A68F2" w:rsidP="006714AE">
            <w:pPr>
              <w:spacing w:after="0" w:line="240" w:lineRule="auto"/>
              <w:ind w:left="331"/>
              <w:rPr>
                <w:rFonts w:ascii="Arial" w:eastAsia="Times New Roman" w:hAnsi="Arial" w:cs="Arial"/>
                <w:sz w:val="20"/>
                <w:szCs w:val="20"/>
                <w:lang w:val="en-US"/>
              </w:rPr>
            </w:pPr>
            <w:r w:rsidRPr="00575F69">
              <w:rPr>
                <w:rFonts w:ascii="Arial" w:eastAsia="Times New Roman" w:hAnsi="Arial" w:cs="Arial"/>
                <w:sz w:val="20"/>
                <w:szCs w:val="20"/>
              </w:rPr>
              <w:t xml:space="preserve">&lt; </w:t>
            </w:r>
            <w:r w:rsidR="006714AE">
              <w:rPr>
                <w:rFonts w:ascii="Arial" w:eastAsia="Times New Roman" w:hAnsi="Arial" w:cs="Arial"/>
                <w:sz w:val="20"/>
                <w:szCs w:val="20"/>
                <w:lang w:val="en-US"/>
              </w:rPr>
              <w:t>25</w:t>
            </w:r>
          </w:p>
        </w:tc>
        <w:tc>
          <w:tcPr>
            <w:tcW w:w="1701" w:type="dxa"/>
            <w:tcBorders>
              <w:top w:val="nil"/>
            </w:tcBorders>
          </w:tcPr>
          <w:p w:rsidR="006A68F2" w:rsidRPr="00C440CC" w:rsidRDefault="006714AE" w:rsidP="006A68F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w:t>
            </w:r>
          </w:p>
        </w:tc>
        <w:tc>
          <w:tcPr>
            <w:tcW w:w="1950" w:type="dxa"/>
            <w:tcBorders>
              <w:top w:val="nil"/>
            </w:tcBorders>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C440CC" w:rsidRDefault="006714AE" w:rsidP="006714AE">
            <w:pPr>
              <w:spacing w:after="0" w:line="240" w:lineRule="auto"/>
              <w:ind w:left="331"/>
              <w:rPr>
                <w:rFonts w:ascii="Arial" w:eastAsia="Times New Roman" w:hAnsi="Arial" w:cs="Arial"/>
                <w:sz w:val="20"/>
                <w:szCs w:val="20"/>
                <w:lang w:val="en-US"/>
              </w:rPr>
            </w:pPr>
            <w:r>
              <w:rPr>
                <w:rFonts w:ascii="Arial" w:eastAsia="Times New Roman" w:hAnsi="Arial" w:cs="Arial"/>
                <w:sz w:val="20"/>
                <w:szCs w:val="20"/>
                <w:lang w:val="en-US"/>
              </w:rPr>
              <w:t>25</w:t>
            </w:r>
            <w:r w:rsidR="006A68F2" w:rsidRPr="00575F69">
              <w:rPr>
                <w:rFonts w:ascii="Arial" w:eastAsia="Times New Roman" w:hAnsi="Arial" w:cs="Arial"/>
                <w:sz w:val="20"/>
                <w:szCs w:val="20"/>
              </w:rPr>
              <w:t xml:space="preserve"> </w:t>
            </w:r>
            <w:r w:rsidR="00C440CC">
              <w:rPr>
                <w:rFonts w:ascii="Arial" w:eastAsia="Times New Roman" w:hAnsi="Arial" w:cs="Arial"/>
                <w:sz w:val="20"/>
                <w:szCs w:val="20"/>
              </w:rPr>
              <w:t>–</w:t>
            </w:r>
            <w:r w:rsidR="006A68F2" w:rsidRPr="00575F69">
              <w:rPr>
                <w:rFonts w:ascii="Arial" w:eastAsia="Times New Roman" w:hAnsi="Arial" w:cs="Arial"/>
                <w:sz w:val="20"/>
                <w:szCs w:val="20"/>
              </w:rPr>
              <w:t xml:space="preserve"> </w:t>
            </w:r>
            <w:r>
              <w:rPr>
                <w:rFonts w:ascii="Arial" w:eastAsia="Times New Roman" w:hAnsi="Arial" w:cs="Arial"/>
                <w:sz w:val="20"/>
                <w:szCs w:val="20"/>
                <w:lang w:val="en-US"/>
              </w:rPr>
              <w:t>34</w:t>
            </w:r>
          </w:p>
        </w:tc>
        <w:tc>
          <w:tcPr>
            <w:tcW w:w="1701" w:type="dxa"/>
          </w:tcPr>
          <w:p w:rsidR="006A68F2" w:rsidRPr="00C440CC" w:rsidRDefault="00C440CC" w:rsidP="006A68F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3</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C440CC" w:rsidRDefault="006714AE" w:rsidP="006714AE">
            <w:pPr>
              <w:spacing w:after="0" w:line="240" w:lineRule="auto"/>
              <w:ind w:left="331"/>
              <w:rPr>
                <w:rFonts w:ascii="Arial" w:eastAsia="Times New Roman" w:hAnsi="Arial" w:cs="Arial"/>
                <w:sz w:val="20"/>
                <w:szCs w:val="20"/>
                <w:lang w:val="en-US"/>
              </w:rPr>
            </w:pPr>
            <w:r>
              <w:rPr>
                <w:rFonts w:ascii="Arial" w:eastAsia="Times New Roman" w:hAnsi="Arial" w:cs="Arial"/>
                <w:sz w:val="20"/>
                <w:szCs w:val="20"/>
                <w:lang w:val="en-US"/>
              </w:rPr>
              <w:t>35</w:t>
            </w:r>
            <w:r w:rsidR="006A68F2" w:rsidRPr="00575F69">
              <w:rPr>
                <w:rFonts w:ascii="Arial" w:eastAsia="Times New Roman" w:hAnsi="Arial" w:cs="Arial"/>
                <w:sz w:val="20"/>
                <w:szCs w:val="20"/>
              </w:rPr>
              <w:t xml:space="preserve"> </w:t>
            </w:r>
            <w:r w:rsidR="00C440CC">
              <w:rPr>
                <w:rFonts w:ascii="Arial" w:eastAsia="Times New Roman" w:hAnsi="Arial" w:cs="Arial"/>
                <w:sz w:val="20"/>
                <w:szCs w:val="20"/>
              </w:rPr>
              <w:t>–</w:t>
            </w:r>
            <w:r w:rsidR="006A68F2" w:rsidRPr="00575F69">
              <w:rPr>
                <w:rFonts w:ascii="Arial" w:eastAsia="Times New Roman" w:hAnsi="Arial" w:cs="Arial"/>
                <w:sz w:val="20"/>
                <w:szCs w:val="20"/>
              </w:rPr>
              <w:t xml:space="preserve"> </w:t>
            </w:r>
            <w:r>
              <w:rPr>
                <w:rFonts w:ascii="Arial" w:eastAsia="Times New Roman" w:hAnsi="Arial" w:cs="Arial"/>
                <w:sz w:val="20"/>
                <w:szCs w:val="20"/>
                <w:lang w:val="en-US"/>
              </w:rPr>
              <w:t>44</w:t>
            </w:r>
          </w:p>
        </w:tc>
        <w:tc>
          <w:tcPr>
            <w:tcW w:w="1701" w:type="dxa"/>
          </w:tcPr>
          <w:p w:rsidR="006A68F2" w:rsidRPr="00C440CC" w:rsidRDefault="006714AE" w:rsidP="006A68F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29</w:t>
            </w:r>
          </w:p>
        </w:tc>
        <w:tc>
          <w:tcPr>
            <w:tcW w:w="1950" w:type="dxa"/>
          </w:tcPr>
          <w:p w:rsidR="006A68F2" w:rsidRPr="00C440CC" w:rsidRDefault="006A68F2" w:rsidP="006A68F2">
            <w:pPr>
              <w:spacing w:after="0" w:line="240" w:lineRule="auto"/>
              <w:jc w:val="center"/>
              <w:rPr>
                <w:rFonts w:ascii="Arial" w:hAnsi="Arial" w:cs="Arial"/>
                <w:sz w:val="20"/>
                <w:szCs w:val="20"/>
                <w:lang w:val="en-US"/>
              </w:rPr>
            </w:pPr>
            <w:r w:rsidRPr="00575F69">
              <w:rPr>
                <w:rFonts w:ascii="Arial" w:eastAsia="Times New Roman" w:hAnsi="Arial" w:cs="Arial"/>
                <w:sz w:val="20"/>
                <w:szCs w:val="20"/>
              </w:rPr>
              <w:t>4</w:t>
            </w:r>
            <w:r w:rsidR="00C440CC">
              <w:rPr>
                <w:rFonts w:ascii="Arial" w:eastAsia="Times New Roman" w:hAnsi="Arial" w:cs="Arial"/>
                <w:sz w:val="20"/>
                <w:szCs w:val="20"/>
                <w:lang w:val="en-US"/>
              </w:rPr>
              <w:t>8</w:t>
            </w:r>
            <w:r w:rsidR="00042F5B">
              <w:rPr>
                <w:rFonts w:ascii="Arial" w:eastAsia="Times New Roman" w:hAnsi="Arial" w:cs="Arial"/>
                <w:sz w:val="20"/>
                <w:szCs w:val="20"/>
                <w:lang w:val="en-US"/>
              </w:rPr>
              <w:t xml:space="preserve"> tahun</w:t>
            </w:r>
          </w:p>
        </w:tc>
      </w:tr>
      <w:tr w:rsidR="006A68F2" w:rsidRPr="00575F69" w:rsidTr="00666160">
        <w:tc>
          <w:tcPr>
            <w:tcW w:w="4503" w:type="dxa"/>
          </w:tcPr>
          <w:p w:rsidR="006A68F2" w:rsidRPr="00C440CC" w:rsidRDefault="006714AE" w:rsidP="006714AE">
            <w:pPr>
              <w:spacing w:after="0" w:line="240" w:lineRule="auto"/>
              <w:ind w:left="331"/>
              <w:rPr>
                <w:rFonts w:ascii="Arial" w:eastAsia="Times New Roman" w:hAnsi="Arial" w:cs="Arial"/>
                <w:sz w:val="20"/>
                <w:szCs w:val="20"/>
                <w:lang w:val="en-US"/>
              </w:rPr>
            </w:pPr>
            <w:r>
              <w:rPr>
                <w:rFonts w:ascii="Arial" w:eastAsia="Times New Roman" w:hAnsi="Arial" w:cs="Arial"/>
                <w:sz w:val="20"/>
                <w:szCs w:val="20"/>
                <w:lang w:val="en-US"/>
              </w:rPr>
              <w:t>45</w:t>
            </w:r>
            <w:r w:rsidR="006A68F2" w:rsidRPr="00575F69">
              <w:rPr>
                <w:rFonts w:ascii="Arial" w:eastAsia="Times New Roman" w:hAnsi="Arial" w:cs="Arial"/>
                <w:sz w:val="20"/>
                <w:szCs w:val="20"/>
              </w:rPr>
              <w:t xml:space="preserve"> </w:t>
            </w:r>
            <w:r w:rsidR="00C440CC">
              <w:rPr>
                <w:rFonts w:ascii="Arial" w:eastAsia="Times New Roman" w:hAnsi="Arial" w:cs="Arial"/>
                <w:sz w:val="20"/>
                <w:szCs w:val="20"/>
              </w:rPr>
              <w:t>–</w:t>
            </w:r>
            <w:r w:rsidR="006A68F2" w:rsidRPr="00575F69">
              <w:rPr>
                <w:rFonts w:ascii="Arial" w:eastAsia="Times New Roman" w:hAnsi="Arial" w:cs="Arial"/>
                <w:sz w:val="20"/>
                <w:szCs w:val="20"/>
              </w:rPr>
              <w:t xml:space="preserve"> </w:t>
            </w:r>
            <w:r>
              <w:rPr>
                <w:rFonts w:ascii="Arial" w:eastAsia="Times New Roman" w:hAnsi="Arial" w:cs="Arial"/>
                <w:sz w:val="20"/>
                <w:szCs w:val="20"/>
                <w:lang w:val="en-US"/>
              </w:rPr>
              <w:t>54</w:t>
            </w:r>
          </w:p>
        </w:tc>
        <w:tc>
          <w:tcPr>
            <w:tcW w:w="1701" w:type="dxa"/>
          </w:tcPr>
          <w:p w:rsidR="006A68F2" w:rsidRPr="00C440CC" w:rsidRDefault="006714AE" w:rsidP="006A68F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43</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714AE" w:rsidP="00C440CC">
            <w:pPr>
              <w:spacing w:after="0" w:line="240" w:lineRule="auto"/>
              <w:ind w:left="331"/>
              <w:rPr>
                <w:rFonts w:ascii="Arial" w:eastAsia="Times New Roman" w:hAnsi="Arial" w:cs="Arial"/>
                <w:sz w:val="20"/>
                <w:szCs w:val="20"/>
              </w:rPr>
            </w:pPr>
            <w:r>
              <w:rPr>
                <w:rFonts w:ascii="Arial" w:eastAsia="Times New Roman" w:hAnsi="Arial" w:cs="Arial"/>
                <w:sz w:val="20"/>
                <w:szCs w:val="20"/>
                <w:lang w:val="en-US"/>
              </w:rPr>
              <w:t>54</w:t>
            </w:r>
            <w:r w:rsidR="006A68F2" w:rsidRPr="00575F69">
              <w:rPr>
                <w:rFonts w:ascii="Arial" w:eastAsia="Times New Roman" w:hAnsi="Arial" w:cs="Arial"/>
                <w:sz w:val="20"/>
                <w:szCs w:val="20"/>
              </w:rPr>
              <w:t xml:space="preserve"> lebih</w:t>
            </w:r>
          </w:p>
        </w:tc>
        <w:tc>
          <w:tcPr>
            <w:tcW w:w="1701" w:type="dxa"/>
          </w:tcPr>
          <w:p w:rsidR="006A68F2" w:rsidRPr="00C440CC" w:rsidRDefault="006714AE" w:rsidP="006A68F2">
            <w:pPr>
              <w:spacing w:after="0" w:line="240" w:lineRule="auto"/>
              <w:jc w:val="center"/>
              <w:rPr>
                <w:rFonts w:ascii="Arial" w:eastAsia="Times New Roman" w:hAnsi="Arial" w:cs="Arial"/>
                <w:sz w:val="20"/>
                <w:szCs w:val="20"/>
                <w:lang w:val="en-US"/>
              </w:rPr>
            </w:pPr>
            <w:r>
              <w:rPr>
                <w:rFonts w:ascii="Arial" w:eastAsia="Times New Roman" w:hAnsi="Arial" w:cs="Arial"/>
                <w:sz w:val="20"/>
                <w:szCs w:val="20"/>
                <w:lang w:val="en-US"/>
              </w:rPr>
              <w:t>23</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A68F2"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Jumlah anggota keluarga (orang)</w:t>
            </w:r>
          </w:p>
        </w:tc>
        <w:tc>
          <w:tcPr>
            <w:tcW w:w="1701" w:type="dxa"/>
          </w:tcPr>
          <w:p w:rsidR="006A68F2" w:rsidRPr="00575F69" w:rsidRDefault="006A68F2" w:rsidP="006A68F2">
            <w:pPr>
              <w:spacing w:after="0" w:line="240" w:lineRule="auto"/>
              <w:rPr>
                <w:rFonts w:ascii="Arial" w:hAnsi="Arial" w:cs="Arial"/>
                <w:sz w:val="20"/>
                <w:szCs w:val="20"/>
              </w:rPr>
            </w:pP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A68F2" w:rsidP="006A68F2">
            <w:pPr>
              <w:spacing w:after="0" w:line="240" w:lineRule="auto"/>
              <w:ind w:left="331"/>
              <w:rPr>
                <w:rFonts w:ascii="Arial" w:eastAsia="Times New Roman" w:hAnsi="Arial" w:cs="Arial"/>
                <w:sz w:val="20"/>
                <w:szCs w:val="20"/>
              </w:rPr>
            </w:pPr>
            <w:r w:rsidRPr="00575F69">
              <w:rPr>
                <w:rFonts w:ascii="Arial" w:eastAsia="Times New Roman" w:hAnsi="Arial" w:cs="Arial"/>
                <w:sz w:val="20"/>
                <w:szCs w:val="20"/>
              </w:rPr>
              <w:t>2</w:t>
            </w:r>
          </w:p>
        </w:tc>
        <w:tc>
          <w:tcPr>
            <w:tcW w:w="1701" w:type="dxa"/>
          </w:tcPr>
          <w:p w:rsidR="006A68F2" w:rsidRPr="00C440CC" w:rsidRDefault="006A68F2" w:rsidP="006A68F2">
            <w:pPr>
              <w:spacing w:after="0" w:line="240" w:lineRule="auto"/>
              <w:jc w:val="center"/>
              <w:rPr>
                <w:rFonts w:ascii="Arial" w:eastAsia="Times New Roman" w:hAnsi="Arial" w:cs="Arial"/>
                <w:color w:val="000000"/>
                <w:sz w:val="20"/>
                <w:szCs w:val="20"/>
                <w:lang w:val="en-US"/>
              </w:rPr>
            </w:pPr>
            <w:r w:rsidRPr="00575F69">
              <w:rPr>
                <w:rFonts w:ascii="Arial" w:eastAsia="Times New Roman" w:hAnsi="Arial" w:cs="Arial"/>
                <w:color w:val="000000"/>
                <w:sz w:val="20"/>
                <w:szCs w:val="20"/>
              </w:rPr>
              <w:t>1</w:t>
            </w:r>
            <w:r w:rsidR="00C440CC">
              <w:rPr>
                <w:rFonts w:ascii="Arial" w:eastAsia="Times New Roman" w:hAnsi="Arial" w:cs="Arial"/>
                <w:color w:val="000000"/>
                <w:sz w:val="20"/>
                <w:szCs w:val="20"/>
                <w:lang w:val="en-US"/>
              </w:rPr>
              <w:t>1</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A68F2" w:rsidP="006A68F2">
            <w:pPr>
              <w:spacing w:after="0" w:line="240" w:lineRule="auto"/>
              <w:ind w:left="331"/>
              <w:rPr>
                <w:rFonts w:ascii="Arial" w:eastAsia="Times New Roman" w:hAnsi="Arial" w:cs="Arial"/>
                <w:sz w:val="20"/>
                <w:szCs w:val="20"/>
              </w:rPr>
            </w:pPr>
            <w:r w:rsidRPr="00575F69">
              <w:rPr>
                <w:rFonts w:ascii="Arial" w:eastAsia="Times New Roman" w:hAnsi="Arial" w:cs="Arial"/>
                <w:sz w:val="20"/>
                <w:szCs w:val="20"/>
              </w:rPr>
              <w:t>3</w:t>
            </w:r>
          </w:p>
        </w:tc>
        <w:tc>
          <w:tcPr>
            <w:tcW w:w="1701" w:type="dxa"/>
          </w:tcPr>
          <w:p w:rsidR="006A68F2" w:rsidRPr="00C440CC" w:rsidRDefault="00C440CC" w:rsidP="006A68F2">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36</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A68F2" w:rsidP="006A68F2">
            <w:pPr>
              <w:spacing w:after="0" w:line="240" w:lineRule="auto"/>
              <w:ind w:left="331"/>
              <w:rPr>
                <w:rFonts w:ascii="Arial" w:eastAsia="Times New Roman" w:hAnsi="Arial" w:cs="Arial"/>
                <w:sz w:val="20"/>
                <w:szCs w:val="20"/>
              </w:rPr>
            </w:pPr>
            <w:r w:rsidRPr="00575F69">
              <w:rPr>
                <w:rFonts w:ascii="Arial" w:eastAsia="Times New Roman" w:hAnsi="Arial" w:cs="Arial"/>
                <w:sz w:val="20"/>
                <w:szCs w:val="20"/>
              </w:rPr>
              <w:t>4</w:t>
            </w:r>
          </w:p>
        </w:tc>
        <w:tc>
          <w:tcPr>
            <w:tcW w:w="1701" w:type="dxa"/>
          </w:tcPr>
          <w:p w:rsidR="006A68F2" w:rsidRPr="00C440CC" w:rsidRDefault="00C440CC" w:rsidP="006A68F2">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35</w:t>
            </w:r>
          </w:p>
        </w:tc>
        <w:tc>
          <w:tcPr>
            <w:tcW w:w="1950" w:type="dxa"/>
          </w:tcPr>
          <w:p w:rsidR="006A68F2" w:rsidRPr="00042F5B" w:rsidRDefault="00353FD3" w:rsidP="006A68F2">
            <w:pPr>
              <w:spacing w:after="0" w:line="240" w:lineRule="auto"/>
              <w:jc w:val="center"/>
              <w:rPr>
                <w:rFonts w:ascii="Arial" w:hAnsi="Arial" w:cs="Arial"/>
                <w:sz w:val="20"/>
                <w:szCs w:val="20"/>
                <w:lang w:val="en-US"/>
              </w:rPr>
            </w:pPr>
            <w:r>
              <w:rPr>
                <w:rFonts w:ascii="Arial" w:hAnsi="Arial" w:cs="Arial"/>
                <w:sz w:val="20"/>
                <w:szCs w:val="20"/>
                <w:lang w:val="en-US"/>
              </w:rPr>
              <w:t xml:space="preserve">3,64 = </w:t>
            </w:r>
            <w:r w:rsidR="006A68F2" w:rsidRPr="00575F69">
              <w:rPr>
                <w:rFonts w:ascii="Arial" w:hAnsi="Arial" w:cs="Arial"/>
                <w:sz w:val="20"/>
                <w:szCs w:val="20"/>
              </w:rPr>
              <w:t>4</w:t>
            </w:r>
            <w:r w:rsidR="00042F5B">
              <w:rPr>
                <w:rFonts w:ascii="Arial" w:hAnsi="Arial" w:cs="Arial"/>
                <w:sz w:val="20"/>
                <w:szCs w:val="20"/>
                <w:lang w:val="en-US"/>
              </w:rPr>
              <w:t xml:space="preserve"> orang</w:t>
            </w:r>
          </w:p>
        </w:tc>
      </w:tr>
      <w:tr w:rsidR="006A68F2" w:rsidRPr="00575F69" w:rsidTr="00666160">
        <w:tc>
          <w:tcPr>
            <w:tcW w:w="4503" w:type="dxa"/>
          </w:tcPr>
          <w:p w:rsidR="006A68F2" w:rsidRPr="00575F69" w:rsidRDefault="006A68F2" w:rsidP="006A68F2">
            <w:pPr>
              <w:spacing w:after="0" w:line="240" w:lineRule="auto"/>
              <w:ind w:left="331"/>
              <w:rPr>
                <w:rFonts w:ascii="Arial" w:eastAsia="Times New Roman" w:hAnsi="Arial" w:cs="Arial"/>
                <w:sz w:val="20"/>
                <w:szCs w:val="20"/>
              </w:rPr>
            </w:pPr>
            <w:r w:rsidRPr="00575F69">
              <w:rPr>
                <w:rFonts w:ascii="Arial" w:eastAsia="Times New Roman" w:hAnsi="Arial" w:cs="Arial"/>
                <w:sz w:val="20"/>
                <w:szCs w:val="20"/>
              </w:rPr>
              <w:t>5</w:t>
            </w:r>
          </w:p>
        </w:tc>
        <w:tc>
          <w:tcPr>
            <w:tcW w:w="1701" w:type="dxa"/>
          </w:tcPr>
          <w:p w:rsidR="006A68F2" w:rsidRPr="00C440CC" w:rsidRDefault="00C440CC" w:rsidP="006A68F2">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14</w:t>
            </w:r>
          </w:p>
        </w:tc>
        <w:tc>
          <w:tcPr>
            <w:tcW w:w="1950" w:type="dxa"/>
          </w:tcPr>
          <w:p w:rsidR="006A68F2" w:rsidRPr="00575F69" w:rsidRDefault="006A68F2" w:rsidP="006A68F2">
            <w:pPr>
              <w:spacing w:after="0" w:line="240" w:lineRule="auto"/>
              <w:rPr>
                <w:rFonts w:ascii="Arial" w:hAnsi="Arial" w:cs="Arial"/>
                <w:sz w:val="20"/>
                <w:szCs w:val="20"/>
              </w:rPr>
            </w:pPr>
          </w:p>
        </w:tc>
      </w:tr>
      <w:tr w:rsidR="006A68F2" w:rsidRPr="00575F69" w:rsidTr="00666160">
        <w:tc>
          <w:tcPr>
            <w:tcW w:w="4503" w:type="dxa"/>
          </w:tcPr>
          <w:p w:rsidR="006A68F2" w:rsidRPr="00575F69" w:rsidRDefault="006A68F2" w:rsidP="006A68F2">
            <w:pPr>
              <w:spacing w:after="0" w:line="240" w:lineRule="auto"/>
              <w:ind w:left="331"/>
              <w:rPr>
                <w:rFonts w:ascii="Arial" w:eastAsia="Times New Roman" w:hAnsi="Arial" w:cs="Arial"/>
                <w:sz w:val="20"/>
                <w:szCs w:val="20"/>
              </w:rPr>
            </w:pPr>
            <w:r w:rsidRPr="00575F69">
              <w:rPr>
                <w:rFonts w:ascii="Arial" w:eastAsia="Times New Roman" w:hAnsi="Arial" w:cs="Arial"/>
                <w:sz w:val="20"/>
                <w:szCs w:val="20"/>
              </w:rPr>
              <w:t>6</w:t>
            </w:r>
          </w:p>
        </w:tc>
        <w:tc>
          <w:tcPr>
            <w:tcW w:w="1701" w:type="dxa"/>
          </w:tcPr>
          <w:p w:rsidR="006A68F2" w:rsidRPr="00C440CC" w:rsidRDefault="00C440CC" w:rsidP="006A68F2">
            <w:pPr>
              <w:spacing w:after="0" w:line="240" w:lineRule="auto"/>
              <w:jc w:val="center"/>
              <w:rPr>
                <w:rFonts w:ascii="Arial" w:eastAsia="Times New Roman" w:hAnsi="Arial" w:cs="Arial"/>
                <w:color w:val="000000"/>
                <w:sz w:val="20"/>
                <w:szCs w:val="20"/>
                <w:lang w:val="en-US"/>
              </w:rPr>
            </w:pPr>
            <w:r>
              <w:rPr>
                <w:rFonts w:ascii="Arial" w:eastAsia="Times New Roman" w:hAnsi="Arial" w:cs="Arial"/>
                <w:color w:val="000000"/>
                <w:sz w:val="20"/>
                <w:szCs w:val="20"/>
                <w:lang w:val="en-US"/>
              </w:rPr>
              <w:t>4</w:t>
            </w:r>
          </w:p>
        </w:tc>
        <w:tc>
          <w:tcPr>
            <w:tcW w:w="1950" w:type="dxa"/>
          </w:tcPr>
          <w:p w:rsidR="006A68F2" w:rsidRPr="00575F69" w:rsidRDefault="006A68F2" w:rsidP="006A68F2">
            <w:pPr>
              <w:spacing w:after="0" w:line="240" w:lineRule="auto"/>
              <w:rPr>
                <w:rFonts w:ascii="Arial" w:hAnsi="Arial" w:cs="Arial"/>
                <w:sz w:val="20"/>
                <w:szCs w:val="20"/>
              </w:rPr>
            </w:pPr>
          </w:p>
        </w:tc>
      </w:tr>
    </w:tbl>
    <w:p w:rsidR="00377C91" w:rsidRDefault="00377C91" w:rsidP="00377C91">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5E1F42" w:rsidRDefault="005E1F42" w:rsidP="005E1F42">
      <w:pPr>
        <w:spacing w:after="0"/>
        <w:ind w:firstLine="709"/>
        <w:jc w:val="both"/>
        <w:rPr>
          <w:rFonts w:ascii="Arial" w:hAnsi="Arial" w:cs="Arial"/>
          <w:lang w:val="en-US"/>
        </w:rPr>
      </w:pPr>
    </w:p>
    <w:p w:rsidR="005E1F42" w:rsidRDefault="005E1F42" w:rsidP="005E1F42">
      <w:pPr>
        <w:spacing w:after="0"/>
        <w:ind w:firstLine="709"/>
        <w:jc w:val="both"/>
        <w:rPr>
          <w:rFonts w:ascii="Arial" w:hAnsi="Arial" w:cs="Arial"/>
          <w:lang w:val="en-US"/>
        </w:rPr>
      </w:pPr>
      <w:r>
        <w:rPr>
          <w:rFonts w:ascii="Arial" w:hAnsi="Arial" w:cs="Arial"/>
          <w:lang w:val="en-US"/>
        </w:rPr>
        <w:t xml:space="preserve">Produktivitas kerja fisik pada kisaran umur tersebut tentu tidak lagi sekuat tenaga fisik petani muda. Namun disisi lain, minat generasi muda desa setempat menjadi petani juga sudah menurun, Sebaran umur petani di desa ini sama seperti fenomena penuaan petani dan menurunnya minat petani muda Indonesia umumnya saat ini </w:t>
      </w:r>
      <w:r w:rsidR="00B94BBB">
        <w:rPr>
          <w:rFonts w:ascii="Arial" w:hAnsi="Arial" w:cs="Arial"/>
          <w:lang w:val="en-US"/>
        </w:rPr>
        <w:fldChar w:fldCharType="begin" w:fldLock="1"/>
      </w:r>
      <w:r w:rsidR="008C701F">
        <w:rPr>
          <w:rFonts w:ascii="Arial" w:hAnsi="Arial" w:cs="Arial"/>
          <w:lang w:val="en-US"/>
        </w:rPr>
        <w:instrText>ADDIN CSL_CITATION { "citationItems" : [ { "id" : "ITEM-1", "itemData" : { "abstract" : "Sumber daya manusia yang berkualitas dan memiliki komitmen membangun sektor pertanian merupakan salah satu faktor keberhasilan pembangunan pertanian berkelanjutan. Namun, pembangunan pertanian menghadapi permasalahan cukup serius, yaitu jumlah petani muda terus mengalami penurunan, baik secara absolut maupun relatif, sementara petani usia tua semakin meningkat. Tujuan makalah ini adalah melakukan review tentang perubahan struktural tenaga kerja pertanian dilihat dari fenomena aging farmer dan menurunnya jumlah tenaga kerja usia muda sektor pertanian di Indonesia dan di berbagai negara lainnya, mengidentifikasi berbagai faktor penyebab perubahan tersebut, serta kebijakan yang diperlukan untuk mendukung tenaga kerja muda masuk ke sektor pertanian. Metode penelitian yang digunakan adalah analisis deskriptif dan tabulasi. Hasil analisis menunjukkan bahwa secara umum fenomena penuaan petani dan berkurangnya petani muda di Indonesia semakin meningkat. Kondisi seperti ini bukan hanya terjadi di Indonesia, namun juga di negara-negara lain di Asia, Eropa, dan Amerika. Berbagai faktor penyebab menurunnya minat tenaga kerja muda di sektor pertanian, di antaranya citra sektor pertanian yang kurang bergengsi, berisiko tinggi, kurang memberikan jaminan tingkat, stabilitas, dan kontinyuitas pendapatan; rata-rata penguasaan lahan sempit; diversifikasi usaha nonpertanian dan industri pertanian di desa kurang/tidak berkembang; suksesi pengelolaan usaha tani rendah; belum ada kebijakan insentif khusus untuk petani muda/pemula; dan berubahnya cara pandang pemuda di era postmodern seperti sekarang. Strategi yang perlu dilakukan untuk menarik minat pemuda bekerja di pertanian antara lain mengubah persepsi generasi muda bahwa sektor pertanian merupakan sektor yang menarik dan menjanjikan apabila dikelola dengan tekun dan sungguh-sungguh, pengembangan agroindustri, inovasi teknologi, pemberian insentif khusus kepada petani muda, pengembangan pertanian modern, pelatihan dan pemberdayaan petani muda, serta memperkenalkan pertanian kepada generasi muda sejak dini.", "author" : [ { "dropping-particle" : "", "family" : "Susilowati", "given" : "Sri Hery", "non-dropping-particle" : "", "parse-names" : false, "suffix" : "" } ], "container-title" : "Forum Penelit. Agroecon.", "id" : "ITEM-1", "issue" : "1", "issued" : { "date-parts" : [ [ "2016" ] ] }, "page" : "35-55", "title" : "Fenomena Penuaan Petani dan Berkurangnya Tenaga Kerja Muda Serta Implikasinya Bagi Kebijakan Pembangunan Pertanian", "type" : "article-journal", "volume" : "34" }, "uris" : [ "http://www.mendeley.com/documents/?uuid=8882bad0-2366-4c0d-bf9d-ac6b9ab8db96" ] }, { "id" : "ITEM-2", "itemData" : { "DOI" : "10.21082/jp3.v39n2.2020.p73-85", "ISSN" : "0216-4418", "abstract" : "The low share of young farmers in Indonesia must be a serious concern of the government in the future agricultural development program. The results of the agricultural census in 2013 showed that the portion of young farmers (&lt;35 years) was 12.87%, far lower than the middle age (35-54 years) 54.37%, and the elderly (&gt; 54 years) 32.76%. This situation encourages the importance of finding solutions to realize farmers\u2019 regeneration. This paper describes the regeneration of farmers (processes, approaches, and strategies) through increasing the role of families, agricultural extension, community, agricultural modernization, and farmer corporations. Regeneration has the same terms as the succession and inheritance of agricultural business, which is the process of presenting new actors in agricultural business. Farmer regeneration can be in the family environment which means that the management of agricultural businesses is inherited from parents to their children, and non-family regeneration, namely inheritance of agricultural businesses, is shifted to newcomers who have no family relations. The regeneration process can be planned that is driven by outsiders and without a plan that is driven by the community itself. Approaches and strategies for farmers\u2019 regeneration processes can be through strengthening the role of families, agricultural extension, community, agricultural modernization, and farmer corporations. The role of the family can be increased through the cultivation of respect, socialization, and inheritance of agricultural businesses. The role of agricultural extension workers as facilitators, communicators, motivators, consultants, and institutional development of young farmers can be strengthened. The role of the community through outreach, information transfer, and consultation can be intensified. Modernization of agriculture can be through the application of agricultural mechanization technology and smart farming or digital farming. Farmer corporations can be developed to attract the interest of the younger generation because they open opportunities for the availability of economically viable land, based on the specialization of expertise, the use of agricultural machinery, and improving the bargaining position of farmers. Keywords: Farmers, regeneration, corporation, agriculture, modernization Abstrak PROSES DAN PENDEKATAN REGENERASI PETANI MELALUI MULTISTRATEGI DI INDONESIA Porsi petani muda yang rendah di Indonesia harus menjadi perhatian ser\u2026", "author" : [ { "dropping-particle" : "", "family" : "Anwarudin", "given" : "Oeng", "non-dropping-particle" : "", "parse-names" : false, "suffix" : "" }, { "dropping-particle" : "", "family" : "Sumardjo", "given" : "Sumardjo", "non-dropping-particle" : "", "parse-names" : false, "suffix" : "" }, { "dropping-particle" : "", "family" : "Satria", "given" : "Arif", "non-dropping-particle" : "", "parse-names" : false, "suffix" : "" }, { "dropping-particle" : "", "family" : "Fatchiya", "given" : "Anna", "non-dropping-particle" : "", "parse-names" : false, "suffix" : "" } ], "container-title" : "Jurnal Penelitian dan Pengembangan Pertanian", "id" : "ITEM-2", "issue" : "2", "issued" : { "date-parts" : [ [ "2020" ] ] }, "page" : "73-85", "title" : "Process and Approach to Farmer Regeneration Through Multi-strategy in Indonesia", "type" : "article-journal", "volume" : "39" }, "uris" : [ "http://www.mendeley.com/documents/?uuid=3c611b05-562d-40ec-8df7-af6c12f94f3f" ] } ], "mendeley" : { "formattedCitation" : "(Anwarudin, Sumardjo, Satria, &amp; Fatchiya, 2020; Susilowati, 2016)", "plainTextFormattedCitation" : "(Anwarudin, Sumardjo, Satria, &amp; Fatchiya, 2020; Susilowati, 2016)", "previouslyFormattedCitation" : "(Anwarudin, Sumardjo, Satria, &amp; Fatchiya, 2020; Susilowati, 2016)" }, "properties" : {  }, "schema" : "https://github.com/citation-style-language/schema/raw/master/csl-citation.json" }</w:instrText>
      </w:r>
      <w:r w:rsidR="00B94BBB">
        <w:rPr>
          <w:rFonts w:ascii="Arial" w:hAnsi="Arial" w:cs="Arial"/>
          <w:lang w:val="en-US"/>
        </w:rPr>
        <w:fldChar w:fldCharType="separate"/>
      </w:r>
      <w:r w:rsidRPr="00124517">
        <w:rPr>
          <w:rFonts w:ascii="Arial" w:hAnsi="Arial" w:cs="Arial"/>
          <w:noProof/>
          <w:lang w:val="en-US"/>
        </w:rPr>
        <w:t>(Anwarudin, Sumardjo, Satria, &amp; Fatchiya, 2020; Susilowati, 2016)</w:t>
      </w:r>
      <w:r w:rsidR="00B94BBB">
        <w:rPr>
          <w:rFonts w:ascii="Arial" w:hAnsi="Arial" w:cs="Arial"/>
          <w:lang w:val="en-US"/>
        </w:rPr>
        <w:fldChar w:fldCharType="end"/>
      </w:r>
      <w:r>
        <w:rPr>
          <w:rFonts w:ascii="Arial" w:hAnsi="Arial" w:cs="Arial"/>
          <w:lang w:val="en-US"/>
        </w:rPr>
        <w:t>.</w:t>
      </w:r>
    </w:p>
    <w:p w:rsidR="00961DF8" w:rsidRPr="004F445E" w:rsidRDefault="004F445E" w:rsidP="00961DF8">
      <w:pPr>
        <w:spacing w:after="0" w:line="240" w:lineRule="auto"/>
        <w:jc w:val="center"/>
        <w:rPr>
          <w:rFonts w:ascii="Arial" w:hAnsi="Arial" w:cs="Arial"/>
          <w:b/>
          <w:lang w:val="en-US"/>
        </w:rPr>
      </w:pPr>
      <w:r>
        <w:rPr>
          <w:rFonts w:ascii="Arial" w:hAnsi="Arial" w:cs="Arial"/>
          <w:b/>
        </w:rPr>
        <w:t xml:space="preserve">Tabel </w:t>
      </w:r>
      <w:r>
        <w:rPr>
          <w:rFonts w:ascii="Arial" w:hAnsi="Arial" w:cs="Arial"/>
          <w:b/>
          <w:lang w:val="en-US"/>
        </w:rPr>
        <w:t>3</w:t>
      </w:r>
    </w:p>
    <w:p w:rsidR="00961DF8" w:rsidRPr="00575F69" w:rsidRDefault="00961DF8" w:rsidP="00961DF8">
      <w:pPr>
        <w:spacing w:after="0" w:line="240" w:lineRule="auto"/>
        <w:jc w:val="center"/>
        <w:rPr>
          <w:rFonts w:ascii="Arial" w:hAnsi="Arial" w:cs="Arial"/>
          <w:b/>
        </w:rPr>
      </w:pPr>
      <w:r w:rsidRPr="00575F69">
        <w:rPr>
          <w:rFonts w:ascii="Arial" w:hAnsi="Arial" w:cs="Arial"/>
          <w:b/>
        </w:rPr>
        <w:t xml:space="preserve">Karakteristik </w:t>
      </w:r>
      <w:r>
        <w:rPr>
          <w:rFonts w:ascii="Arial" w:hAnsi="Arial" w:cs="Arial"/>
          <w:b/>
        </w:rPr>
        <w:t>U</w:t>
      </w:r>
      <w:r w:rsidRPr="00575F69">
        <w:rPr>
          <w:rFonts w:ascii="Arial" w:hAnsi="Arial" w:cs="Arial"/>
          <w:b/>
        </w:rPr>
        <w:t>sahatani</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354"/>
        <w:gridCol w:w="1133"/>
        <w:gridCol w:w="1667"/>
      </w:tblGrid>
      <w:tr w:rsidR="00961DF8" w:rsidRPr="006A68F2" w:rsidTr="005216DF">
        <w:tc>
          <w:tcPr>
            <w:tcW w:w="3283" w:type="pct"/>
            <w:tcBorders>
              <w:bottom w:val="single" w:sz="4" w:space="0" w:color="auto"/>
            </w:tcBorders>
          </w:tcPr>
          <w:p w:rsidR="00961DF8" w:rsidRPr="006A68F2" w:rsidRDefault="00961DF8" w:rsidP="006A68F2">
            <w:pPr>
              <w:spacing w:after="0" w:line="240" w:lineRule="auto"/>
              <w:jc w:val="center"/>
              <w:rPr>
                <w:rFonts w:ascii="Arial" w:hAnsi="Arial" w:cs="Arial"/>
                <w:sz w:val="20"/>
                <w:szCs w:val="20"/>
              </w:rPr>
            </w:pPr>
            <w:r w:rsidRPr="006A68F2">
              <w:rPr>
                <w:rFonts w:ascii="Arial" w:hAnsi="Arial" w:cs="Arial"/>
                <w:sz w:val="20"/>
                <w:szCs w:val="20"/>
              </w:rPr>
              <w:t xml:space="preserve">Karakteristik </w:t>
            </w:r>
          </w:p>
        </w:tc>
        <w:tc>
          <w:tcPr>
            <w:tcW w:w="695" w:type="pct"/>
            <w:tcBorders>
              <w:bottom w:val="single" w:sz="4" w:space="0" w:color="auto"/>
            </w:tcBorders>
          </w:tcPr>
          <w:p w:rsidR="00961DF8" w:rsidRPr="006A68F2" w:rsidRDefault="00961DF8" w:rsidP="006A68F2">
            <w:pPr>
              <w:spacing w:after="0" w:line="240" w:lineRule="auto"/>
              <w:jc w:val="center"/>
              <w:rPr>
                <w:rFonts w:ascii="Arial" w:hAnsi="Arial" w:cs="Arial"/>
                <w:sz w:val="20"/>
                <w:szCs w:val="20"/>
              </w:rPr>
            </w:pPr>
            <w:r w:rsidRPr="006A68F2">
              <w:rPr>
                <w:rFonts w:ascii="Arial" w:hAnsi="Arial" w:cs="Arial"/>
                <w:sz w:val="20"/>
                <w:szCs w:val="20"/>
              </w:rPr>
              <w:t>Jumlah petani</w:t>
            </w:r>
          </w:p>
        </w:tc>
        <w:tc>
          <w:tcPr>
            <w:tcW w:w="1022" w:type="pct"/>
            <w:tcBorders>
              <w:bottom w:val="single" w:sz="4" w:space="0" w:color="auto"/>
            </w:tcBorders>
          </w:tcPr>
          <w:p w:rsidR="00961DF8" w:rsidRPr="006A68F2" w:rsidRDefault="00961DF8" w:rsidP="006A68F2">
            <w:pPr>
              <w:spacing w:after="0" w:line="240" w:lineRule="auto"/>
              <w:jc w:val="center"/>
              <w:rPr>
                <w:rFonts w:ascii="Arial" w:hAnsi="Arial" w:cs="Arial"/>
                <w:sz w:val="20"/>
                <w:szCs w:val="20"/>
              </w:rPr>
            </w:pPr>
            <w:r w:rsidRPr="006A68F2">
              <w:rPr>
                <w:rFonts w:ascii="Arial" w:hAnsi="Arial" w:cs="Arial"/>
                <w:sz w:val="20"/>
                <w:szCs w:val="20"/>
              </w:rPr>
              <w:t>Rata-rata</w:t>
            </w:r>
          </w:p>
        </w:tc>
      </w:tr>
      <w:tr w:rsidR="00961DF8" w:rsidRPr="006A68F2" w:rsidTr="005216DF">
        <w:tc>
          <w:tcPr>
            <w:tcW w:w="3283" w:type="pct"/>
            <w:tcBorders>
              <w:top w:val="single" w:sz="4" w:space="0" w:color="auto"/>
              <w:bottom w:val="nil"/>
            </w:tcBorders>
          </w:tcPr>
          <w:p w:rsidR="00961DF8" w:rsidRPr="006A68F2" w:rsidRDefault="00961DF8" w:rsidP="006A68F2">
            <w:pPr>
              <w:spacing w:after="0" w:line="240" w:lineRule="auto"/>
              <w:rPr>
                <w:rFonts w:ascii="Arial" w:hAnsi="Arial" w:cs="Arial"/>
                <w:sz w:val="20"/>
                <w:szCs w:val="20"/>
              </w:rPr>
            </w:pPr>
            <w:r w:rsidRPr="006A68F2">
              <w:rPr>
                <w:rFonts w:ascii="Arial" w:hAnsi="Arial" w:cs="Arial"/>
                <w:sz w:val="20"/>
                <w:szCs w:val="20"/>
              </w:rPr>
              <w:t>Luas (Ha)</w:t>
            </w:r>
          </w:p>
        </w:tc>
        <w:tc>
          <w:tcPr>
            <w:tcW w:w="695" w:type="pct"/>
            <w:tcBorders>
              <w:top w:val="single" w:sz="4" w:space="0" w:color="auto"/>
              <w:bottom w:val="nil"/>
            </w:tcBorders>
          </w:tcPr>
          <w:p w:rsidR="00961DF8" w:rsidRPr="006A68F2" w:rsidRDefault="00961DF8" w:rsidP="006A68F2">
            <w:pPr>
              <w:spacing w:after="0" w:line="240" w:lineRule="auto"/>
              <w:rPr>
                <w:rFonts w:ascii="Arial" w:hAnsi="Arial" w:cs="Arial"/>
                <w:sz w:val="20"/>
                <w:szCs w:val="20"/>
              </w:rPr>
            </w:pPr>
          </w:p>
        </w:tc>
        <w:tc>
          <w:tcPr>
            <w:tcW w:w="1022" w:type="pct"/>
            <w:vMerge w:val="restart"/>
            <w:tcBorders>
              <w:top w:val="single" w:sz="4" w:space="0" w:color="auto"/>
              <w:bottom w:val="nil"/>
            </w:tcBorders>
            <w:vAlign w:val="center"/>
          </w:tcPr>
          <w:p w:rsidR="00961DF8" w:rsidRPr="006A68F2" w:rsidRDefault="00055888" w:rsidP="006A68F2">
            <w:pPr>
              <w:spacing w:after="0" w:line="240" w:lineRule="auto"/>
              <w:jc w:val="center"/>
              <w:rPr>
                <w:rFonts w:ascii="Arial" w:hAnsi="Arial" w:cs="Arial"/>
                <w:sz w:val="20"/>
                <w:szCs w:val="20"/>
              </w:rPr>
            </w:pPr>
            <w:r>
              <w:rPr>
                <w:rFonts w:ascii="Arial" w:hAnsi="Arial" w:cs="Arial"/>
                <w:sz w:val="20"/>
                <w:szCs w:val="20"/>
              </w:rPr>
              <w:t>0,3</w:t>
            </w:r>
            <w:r>
              <w:rPr>
                <w:rFonts w:ascii="Arial" w:hAnsi="Arial" w:cs="Arial"/>
                <w:sz w:val="20"/>
                <w:szCs w:val="20"/>
                <w:lang w:val="en-US"/>
              </w:rPr>
              <w:t>1</w:t>
            </w:r>
            <w:r w:rsidR="00961DF8" w:rsidRPr="006A68F2">
              <w:rPr>
                <w:rFonts w:ascii="Arial" w:hAnsi="Arial" w:cs="Arial"/>
                <w:sz w:val="20"/>
                <w:szCs w:val="20"/>
              </w:rPr>
              <w:t xml:space="preserve"> Ha</w:t>
            </w:r>
          </w:p>
        </w:tc>
      </w:tr>
      <w:tr w:rsidR="00961DF8" w:rsidRPr="006A68F2" w:rsidTr="005216DF">
        <w:tc>
          <w:tcPr>
            <w:tcW w:w="3283" w:type="pct"/>
            <w:tcBorders>
              <w:top w:val="nil"/>
            </w:tcBorders>
          </w:tcPr>
          <w:p w:rsidR="00961DF8" w:rsidRPr="006A68F2" w:rsidRDefault="00961DF8" w:rsidP="006A68F2">
            <w:pPr>
              <w:spacing w:after="0" w:line="240" w:lineRule="auto"/>
              <w:ind w:left="318"/>
              <w:rPr>
                <w:rFonts w:ascii="Arial" w:hAnsi="Arial" w:cs="Arial"/>
                <w:sz w:val="20"/>
                <w:szCs w:val="20"/>
              </w:rPr>
            </w:pPr>
            <w:r w:rsidRPr="006A68F2">
              <w:rPr>
                <w:rFonts w:ascii="Arial" w:hAnsi="Arial" w:cs="Arial"/>
                <w:sz w:val="20"/>
                <w:szCs w:val="20"/>
              </w:rPr>
              <w:t>0</w:t>
            </w:r>
          </w:p>
        </w:tc>
        <w:tc>
          <w:tcPr>
            <w:tcW w:w="695" w:type="pct"/>
            <w:tcBorders>
              <w:top w:val="nil"/>
            </w:tcBorders>
          </w:tcPr>
          <w:p w:rsidR="00961DF8" w:rsidRPr="008840AE" w:rsidRDefault="008840AE" w:rsidP="006A68F2">
            <w:pPr>
              <w:spacing w:after="0" w:line="240" w:lineRule="auto"/>
              <w:jc w:val="center"/>
              <w:rPr>
                <w:rFonts w:ascii="Arial" w:hAnsi="Arial" w:cs="Arial"/>
                <w:sz w:val="20"/>
                <w:szCs w:val="20"/>
                <w:lang w:val="en-US"/>
              </w:rPr>
            </w:pPr>
            <w:r>
              <w:rPr>
                <w:rFonts w:ascii="Arial" w:hAnsi="Arial" w:cs="Arial"/>
                <w:sz w:val="20"/>
                <w:szCs w:val="20"/>
                <w:lang w:val="en-US"/>
              </w:rPr>
              <w:t>28</w:t>
            </w:r>
          </w:p>
        </w:tc>
        <w:tc>
          <w:tcPr>
            <w:tcW w:w="1022" w:type="pct"/>
            <w:vMerge/>
            <w:tcBorders>
              <w:top w:val="nil"/>
            </w:tcBorders>
          </w:tcPr>
          <w:p w:rsidR="00961DF8" w:rsidRPr="006A68F2" w:rsidRDefault="00961DF8" w:rsidP="006A68F2">
            <w:pPr>
              <w:spacing w:after="0" w:line="240" w:lineRule="auto"/>
              <w:jc w:val="center"/>
              <w:rPr>
                <w:rFonts w:ascii="Arial" w:hAnsi="Arial" w:cs="Arial"/>
                <w:sz w:val="20"/>
                <w:szCs w:val="20"/>
              </w:rPr>
            </w:pPr>
          </w:p>
        </w:tc>
      </w:tr>
      <w:tr w:rsidR="00961DF8" w:rsidRPr="006A68F2" w:rsidTr="005216DF">
        <w:tc>
          <w:tcPr>
            <w:tcW w:w="3283" w:type="pct"/>
          </w:tcPr>
          <w:p w:rsidR="00961DF8" w:rsidRPr="006A68F2" w:rsidRDefault="00961DF8" w:rsidP="006A68F2">
            <w:pPr>
              <w:spacing w:after="0" w:line="240" w:lineRule="auto"/>
              <w:ind w:left="318"/>
              <w:rPr>
                <w:rFonts w:ascii="Arial" w:hAnsi="Arial" w:cs="Arial"/>
                <w:sz w:val="20"/>
                <w:szCs w:val="20"/>
              </w:rPr>
            </w:pPr>
            <w:r w:rsidRPr="006A68F2">
              <w:rPr>
                <w:rFonts w:ascii="Arial" w:hAnsi="Arial" w:cs="Arial"/>
                <w:sz w:val="20"/>
                <w:szCs w:val="20"/>
              </w:rPr>
              <w:t>0,1 – 0,25</w:t>
            </w:r>
          </w:p>
        </w:tc>
        <w:tc>
          <w:tcPr>
            <w:tcW w:w="695" w:type="pct"/>
          </w:tcPr>
          <w:p w:rsidR="00961DF8" w:rsidRPr="008840AE" w:rsidRDefault="008840AE" w:rsidP="006A68F2">
            <w:pPr>
              <w:spacing w:after="0" w:line="240" w:lineRule="auto"/>
              <w:jc w:val="center"/>
              <w:rPr>
                <w:rFonts w:ascii="Arial" w:hAnsi="Arial" w:cs="Arial"/>
                <w:sz w:val="20"/>
                <w:szCs w:val="20"/>
                <w:lang w:val="en-US"/>
              </w:rPr>
            </w:pPr>
            <w:r>
              <w:rPr>
                <w:rFonts w:ascii="Arial" w:hAnsi="Arial" w:cs="Arial"/>
                <w:sz w:val="20"/>
                <w:szCs w:val="20"/>
                <w:lang w:val="en-US"/>
              </w:rPr>
              <w:t>38</w:t>
            </w:r>
          </w:p>
        </w:tc>
        <w:tc>
          <w:tcPr>
            <w:tcW w:w="1022" w:type="pct"/>
            <w:vMerge/>
          </w:tcPr>
          <w:p w:rsidR="00961DF8" w:rsidRPr="006A68F2" w:rsidRDefault="00961DF8" w:rsidP="006A68F2">
            <w:pPr>
              <w:spacing w:after="0" w:line="240" w:lineRule="auto"/>
              <w:jc w:val="center"/>
              <w:rPr>
                <w:rFonts w:ascii="Arial" w:hAnsi="Arial" w:cs="Arial"/>
                <w:sz w:val="20"/>
                <w:szCs w:val="20"/>
              </w:rPr>
            </w:pPr>
          </w:p>
        </w:tc>
      </w:tr>
      <w:tr w:rsidR="00961DF8" w:rsidRPr="006A68F2" w:rsidTr="005216DF">
        <w:tc>
          <w:tcPr>
            <w:tcW w:w="3283" w:type="pct"/>
          </w:tcPr>
          <w:p w:rsidR="00961DF8" w:rsidRPr="006A68F2" w:rsidRDefault="00961DF8" w:rsidP="006A68F2">
            <w:pPr>
              <w:tabs>
                <w:tab w:val="center" w:pos="1965"/>
              </w:tabs>
              <w:spacing w:after="0" w:line="240" w:lineRule="auto"/>
              <w:ind w:left="318"/>
              <w:rPr>
                <w:rFonts w:ascii="Arial" w:hAnsi="Arial" w:cs="Arial"/>
                <w:sz w:val="20"/>
                <w:szCs w:val="20"/>
              </w:rPr>
            </w:pPr>
            <w:r w:rsidRPr="006A68F2">
              <w:rPr>
                <w:rFonts w:ascii="Arial" w:hAnsi="Arial" w:cs="Arial"/>
                <w:sz w:val="20"/>
                <w:szCs w:val="20"/>
              </w:rPr>
              <w:t>0.26 – 0,50</w:t>
            </w:r>
          </w:p>
        </w:tc>
        <w:tc>
          <w:tcPr>
            <w:tcW w:w="695" w:type="pct"/>
          </w:tcPr>
          <w:p w:rsidR="00961DF8" w:rsidRPr="008840AE" w:rsidRDefault="008840AE" w:rsidP="006A68F2">
            <w:pPr>
              <w:spacing w:after="0" w:line="240" w:lineRule="auto"/>
              <w:jc w:val="center"/>
              <w:rPr>
                <w:rFonts w:ascii="Arial" w:hAnsi="Arial" w:cs="Arial"/>
                <w:sz w:val="20"/>
                <w:szCs w:val="20"/>
                <w:lang w:val="en-US"/>
              </w:rPr>
            </w:pPr>
            <w:r>
              <w:rPr>
                <w:rFonts w:ascii="Arial" w:hAnsi="Arial" w:cs="Arial"/>
                <w:sz w:val="20"/>
                <w:szCs w:val="20"/>
                <w:lang w:val="en-US"/>
              </w:rPr>
              <w:t>29</w:t>
            </w:r>
          </w:p>
        </w:tc>
        <w:tc>
          <w:tcPr>
            <w:tcW w:w="1022" w:type="pct"/>
            <w:vMerge/>
          </w:tcPr>
          <w:p w:rsidR="00961DF8" w:rsidRPr="006A68F2" w:rsidRDefault="00961DF8" w:rsidP="006A68F2">
            <w:pPr>
              <w:spacing w:after="0" w:line="240" w:lineRule="auto"/>
              <w:jc w:val="center"/>
              <w:rPr>
                <w:rFonts w:ascii="Arial" w:hAnsi="Arial" w:cs="Arial"/>
                <w:sz w:val="20"/>
                <w:szCs w:val="20"/>
              </w:rPr>
            </w:pPr>
          </w:p>
        </w:tc>
      </w:tr>
      <w:tr w:rsidR="00961DF8" w:rsidRPr="006A68F2" w:rsidTr="005216DF">
        <w:tc>
          <w:tcPr>
            <w:tcW w:w="3283" w:type="pct"/>
          </w:tcPr>
          <w:p w:rsidR="00961DF8" w:rsidRPr="006A68F2" w:rsidRDefault="00961DF8" w:rsidP="006A68F2">
            <w:pPr>
              <w:spacing w:after="0" w:line="240" w:lineRule="auto"/>
              <w:ind w:left="318"/>
              <w:rPr>
                <w:rFonts w:ascii="Arial" w:hAnsi="Arial" w:cs="Arial"/>
                <w:sz w:val="20"/>
                <w:szCs w:val="20"/>
              </w:rPr>
            </w:pPr>
            <w:r w:rsidRPr="006A68F2">
              <w:rPr>
                <w:rFonts w:ascii="Arial" w:hAnsi="Arial" w:cs="Arial"/>
                <w:sz w:val="20"/>
                <w:szCs w:val="20"/>
              </w:rPr>
              <w:t>0,51 – 0,75</w:t>
            </w:r>
          </w:p>
        </w:tc>
        <w:tc>
          <w:tcPr>
            <w:tcW w:w="695" w:type="pct"/>
          </w:tcPr>
          <w:p w:rsidR="00961DF8" w:rsidRPr="008840AE" w:rsidRDefault="008840AE" w:rsidP="006A68F2">
            <w:pPr>
              <w:spacing w:after="0" w:line="240" w:lineRule="auto"/>
              <w:jc w:val="center"/>
              <w:rPr>
                <w:rFonts w:ascii="Arial" w:hAnsi="Arial" w:cs="Arial"/>
                <w:sz w:val="20"/>
                <w:szCs w:val="20"/>
                <w:lang w:val="en-US"/>
              </w:rPr>
            </w:pPr>
            <w:r>
              <w:rPr>
                <w:rFonts w:ascii="Arial" w:hAnsi="Arial" w:cs="Arial"/>
                <w:sz w:val="20"/>
                <w:szCs w:val="20"/>
                <w:lang w:val="en-US"/>
              </w:rPr>
              <w:t>5</w:t>
            </w:r>
          </w:p>
        </w:tc>
        <w:tc>
          <w:tcPr>
            <w:tcW w:w="1022" w:type="pct"/>
            <w:vMerge/>
          </w:tcPr>
          <w:p w:rsidR="00961DF8" w:rsidRPr="006A68F2" w:rsidRDefault="00961DF8" w:rsidP="006A68F2">
            <w:pPr>
              <w:spacing w:after="0" w:line="240" w:lineRule="auto"/>
              <w:jc w:val="center"/>
              <w:rPr>
                <w:rFonts w:ascii="Arial" w:hAnsi="Arial" w:cs="Arial"/>
                <w:sz w:val="20"/>
                <w:szCs w:val="20"/>
              </w:rPr>
            </w:pPr>
          </w:p>
        </w:tc>
      </w:tr>
      <w:tr w:rsidR="00961DF8" w:rsidRPr="006A68F2" w:rsidTr="005216DF">
        <w:tc>
          <w:tcPr>
            <w:tcW w:w="3283" w:type="pct"/>
          </w:tcPr>
          <w:p w:rsidR="00961DF8" w:rsidRPr="006A68F2" w:rsidRDefault="00961DF8" w:rsidP="006A68F2">
            <w:pPr>
              <w:spacing w:after="0" w:line="240" w:lineRule="auto"/>
              <w:rPr>
                <w:rFonts w:ascii="Arial" w:hAnsi="Arial" w:cs="Arial"/>
                <w:sz w:val="20"/>
                <w:szCs w:val="20"/>
              </w:rPr>
            </w:pPr>
            <w:r w:rsidRPr="006A68F2">
              <w:rPr>
                <w:rFonts w:ascii="Arial" w:hAnsi="Arial" w:cs="Arial"/>
                <w:sz w:val="20"/>
                <w:szCs w:val="20"/>
              </w:rPr>
              <w:t>Pe</w:t>
            </w:r>
            <w:r w:rsidR="007B7D87">
              <w:rPr>
                <w:rFonts w:ascii="Arial" w:hAnsi="Arial" w:cs="Arial"/>
                <w:sz w:val="20"/>
                <w:szCs w:val="20"/>
              </w:rPr>
              <w:t>ndapatan usahatani semusim (Rp/</w:t>
            </w:r>
            <w:r w:rsidRPr="006A68F2">
              <w:rPr>
                <w:rFonts w:ascii="Arial" w:hAnsi="Arial" w:cs="Arial"/>
                <w:sz w:val="20"/>
                <w:szCs w:val="20"/>
              </w:rPr>
              <w:t>musim)</w:t>
            </w:r>
          </w:p>
        </w:tc>
        <w:tc>
          <w:tcPr>
            <w:tcW w:w="695" w:type="pct"/>
          </w:tcPr>
          <w:p w:rsidR="00961DF8" w:rsidRPr="006A68F2" w:rsidRDefault="00961DF8" w:rsidP="006A68F2">
            <w:pPr>
              <w:spacing w:after="0" w:line="240" w:lineRule="auto"/>
              <w:rPr>
                <w:rFonts w:ascii="Arial" w:hAnsi="Arial" w:cs="Arial"/>
                <w:sz w:val="20"/>
                <w:szCs w:val="20"/>
              </w:rPr>
            </w:pPr>
          </w:p>
        </w:tc>
        <w:tc>
          <w:tcPr>
            <w:tcW w:w="1022" w:type="pct"/>
          </w:tcPr>
          <w:p w:rsidR="00961DF8" w:rsidRPr="006A68F2" w:rsidRDefault="00961DF8" w:rsidP="006A68F2">
            <w:pPr>
              <w:spacing w:after="0" w:line="240" w:lineRule="auto"/>
              <w:ind w:left="459"/>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Pr>
                <w:rFonts w:ascii="Arial" w:hAnsi="Arial" w:cs="Arial"/>
                <w:sz w:val="20"/>
                <w:szCs w:val="20"/>
              </w:rPr>
              <w:t>1.00</w:t>
            </w:r>
            <w:r>
              <w:rPr>
                <w:rFonts w:ascii="Arial" w:hAnsi="Arial" w:cs="Arial"/>
                <w:sz w:val="20"/>
                <w:szCs w:val="20"/>
                <w:lang w:val="en-US"/>
              </w:rPr>
              <w:t>0</w:t>
            </w:r>
            <w:r w:rsidRPr="006A68F2">
              <w:rPr>
                <w:rFonts w:ascii="Arial" w:hAnsi="Arial" w:cs="Arial"/>
                <w:sz w:val="20"/>
                <w:szCs w:val="20"/>
              </w:rPr>
              <w:t>.000 – 3.000.000</w:t>
            </w:r>
          </w:p>
        </w:tc>
        <w:tc>
          <w:tcPr>
            <w:tcW w:w="695" w:type="pct"/>
          </w:tcPr>
          <w:p w:rsidR="005216DF" w:rsidRPr="00055888" w:rsidRDefault="005216DF" w:rsidP="006A68F2">
            <w:pPr>
              <w:spacing w:after="0" w:line="240" w:lineRule="auto"/>
              <w:jc w:val="center"/>
              <w:rPr>
                <w:rFonts w:ascii="Arial" w:hAnsi="Arial" w:cs="Arial"/>
                <w:sz w:val="20"/>
                <w:szCs w:val="20"/>
                <w:lang w:val="en-US"/>
              </w:rPr>
            </w:pPr>
            <w:r>
              <w:rPr>
                <w:rFonts w:ascii="Arial" w:hAnsi="Arial" w:cs="Arial"/>
                <w:sz w:val="20"/>
                <w:szCs w:val="20"/>
                <w:lang w:val="en-US"/>
              </w:rPr>
              <w:t>26</w:t>
            </w:r>
          </w:p>
        </w:tc>
        <w:tc>
          <w:tcPr>
            <w:tcW w:w="1022" w:type="pct"/>
            <w:vMerge w:val="restart"/>
            <w:vAlign w:val="center"/>
          </w:tcPr>
          <w:p w:rsidR="005216DF" w:rsidRPr="006A68F2" w:rsidRDefault="005216DF" w:rsidP="00055888">
            <w:pPr>
              <w:spacing w:after="0" w:line="240" w:lineRule="auto"/>
              <w:jc w:val="center"/>
              <w:rPr>
                <w:rFonts w:ascii="Arial" w:hAnsi="Arial" w:cs="Arial"/>
                <w:color w:val="000000"/>
                <w:sz w:val="20"/>
                <w:szCs w:val="20"/>
              </w:rPr>
            </w:pPr>
            <w:r>
              <w:rPr>
                <w:rFonts w:ascii="Arial" w:hAnsi="Arial" w:cs="Arial"/>
                <w:color w:val="000000"/>
                <w:sz w:val="20"/>
                <w:szCs w:val="20"/>
              </w:rPr>
              <w:t xml:space="preserve">Rp </w:t>
            </w:r>
            <w:r>
              <w:rPr>
                <w:rFonts w:ascii="Arial" w:hAnsi="Arial" w:cs="Arial"/>
                <w:color w:val="000000"/>
                <w:sz w:val="20"/>
                <w:szCs w:val="20"/>
                <w:lang w:val="en-US"/>
              </w:rPr>
              <w:t>6</w:t>
            </w:r>
            <w:r w:rsidRPr="006A68F2">
              <w:rPr>
                <w:rFonts w:ascii="Arial" w:hAnsi="Arial" w:cs="Arial"/>
                <w:color w:val="000000"/>
                <w:sz w:val="20"/>
                <w:szCs w:val="20"/>
              </w:rPr>
              <w:t>.</w:t>
            </w:r>
            <w:r>
              <w:rPr>
                <w:rFonts w:ascii="Arial" w:hAnsi="Arial" w:cs="Arial"/>
                <w:color w:val="000000"/>
                <w:sz w:val="20"/>
                <w:szCs w:val="20"/>
                <w:lang w:val="en-US"/>
              </w:rPr>
              <w:t>086</w:t>
            </w:r>
            <w:r w:rsidRPr="006A68F2">
              <w:rPr>
                <w:rFonts w:ascii="Arial" w:hAnsi="Arial" w:cs="Arial"/>
                <w:color w:val="000000"/>
                <w:sz w:val="20"/>
                <w:szCs w:val="20"/>
              </w:rPr>
              <w:t>.</w:t>
            </w:r>
            <w:r>
              <w:rPr>
                <w:rFonts w:ascii="Arial" w:hAnsi="Arial" w:cs="Arial"/>
                <w:color w:val="000000"/>
                <w:sz w:val="20"/>
                <w:szCs w:val="20"/>
                <w:lang w:val="en-US"/>
              </w:rPr>
              <w:t>4</w:t>
            </w:r>
            <w:r w:rsidRPr="006A68F2">
              <w:rPr>
                <w:rFonts w:ascii="Arial" w:hAnsi="Arial" w:cs="Arial"/>
                <w:color w:val="000000"/>
                <w:sz w:val="20"/>
                <w:szCs w:val="20"/>
              </w:rPr>
              <w:t>00</w:t>
            </w: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3.001.000 - 5.000.000</w:t>
            </w:r>
          </w:p>
        </w:tc>
        <w:tc>
          <w:tcPr>
            <w:tcW w:w="695" w:type="pct"/>
          </w:tcPr>
          <w:p w:rsidR="005216DF" w:rsidRPr="00055888" w:rsidRDefault="005216DF" w:rsidP="006A68F2">
            <w:pPr>
              <w:spacing w:after="0" w:line="240" w:lineRule="auto"/>
              <w:jc w:val="center"/>
              <w:rPr>
                <w:rFonts w:ascii="Arial" w:hAnsi="Arial" w:cs="Arial"/>
                <w:sz w:val="20"/>
                <w:szCs w:val="20"/>
                <w:lang w:val="en-US"/>
              </w:rPr>
            </w:pPr>
            <w:r>
              <w:rPr>
                <w:rFonts w:ascii="Arial" w:hAnsi="Arial" w:cs="Arial"/>
                <w:sz w:val="20"/>
                <w:szCs w:val="20"/>
                <w:lang w:val="en-US"/>
              </w:rPr>
              <w:t>41</w:t>
            </w:r>
          </w:p>
        </w:tc>
        <w:tc>
          <w:tcPr>
            <w:tcW w:w="1022" w:type="pct"/>
            <w:vMerge/>
          </w:tcPr>
          <w:p w:rsidR="005216DF" w:rsidRPr="006A68F2" w:rsidRDefault="005216DF" w:rsidP="006A68F2">
            <w:pPr>
              <w:spacing w:after="0" w:line="240" w:lineRule="auto"/>
              <w:jc w:val="center"/>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5.001.000 - 7.000.000</w:t>
            </w:r>
          </w:p>
        </w:tc>
        <w:tc>
          <w:tcPr>
            <w:tcW w:w="695" w:type="pct"/>
          </w:tcPr>
          <w:p w:rsidR="005216DF" w:rsidRPr="00055888" w:rsidRDefault="005216DF" w:rsidP="006A68F2">
            <w:pPr>
              <w:spacing w:after="0" w:line="240" w:lineRule="auto"/>
              <w:jc w:val="center"/>
              <w:rPr>
                <w:rFonts w:ascii="Arial" w:hAnsi="Arial" w:cs="Arial"/>
                <w:sz w:val="20"/>
                <w:szCs w:val="20"/>
                <w:lang w:val="en-US"/>
              </w:rPr>
            </w:pPr>
            <w:r w:rsidRPr="006A68F2">
              <w:rPr>
                <w:rFonts w:ascii="Arial" w:hAnsi="Arial" w:cs="Arial"/>
                <w:sz w:val="20"/>
                <w:szCs w:val="20"/>
              </w:rPr>
              <w:t>1</w:t>
            </w:r>
            <w:r>
              <w:rPr>
                <w:rFonts w:ascii="Arial" w:hAnsi="Arial" w:cs="Arial"/>
                <w:sz w:val="20"/>
                <w:szCs w:val="20"/>
                <w:lang w:val="en-US"/>
              </w:rPr>
              <w:t>0</w:t>
            </w:r>
          </w:p>
        </w:tc>
        <w:tc>
          <w:tcPr>
            <w:tcW w:w="1022" w:type="pct"/>
            <w:vMerge/>
          </w:tcPr>
          <w:p w:rsidR="005216DF" w:rsidRPr="006A68F2" w:rsidRDefault="005216DF" w:rsidP="006A68F2">
            <w:pPr>
              <w:spacing w:after="0" w:line="240" w:lineRule="auto"/>
              <w:jc w:val="center"/>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7.001.000 - 9.000.000</w:t>
            </w:r>
          </w:p>
        </w:tc>
        <w:tc>
          <w:tcPr>
            <w:tcW w:w="695" w:type="pct"/>
          </w:tcPr>
          <w:p w:rsidR="005216DF" w:rsidRPr="00055888" w:rsidRDefault="005216DF" w:rsidP="006A68F2">
            <w:pPr>
              <w:spacing w:after="0" w:line="240" w:lineRule="auto"/>
              <w:jc w:val="center"/>
              <w:rPr>
                <w:rFonts w:ascii="Arial" w:hAnsi="Arial" w:cs="Arial"/>
                <w:sz w:val="20"/>
                <w:szCs w:val="20"/>
                <w:lang w:val="en-US"/>
              </w:rPr>
            </w:pPr>
            <w:r w:rsidRPr="006A68F2">
              <w:rPr>
                <w:rFonts w:ascii="Arial" w:hAnsi="Arial" w:cs="Arial"/>
                <w:sz w:val="20"/>
                <w:szCs w:val="20"/>
              </w:rPr>
              <w:t>1</w:t>
            </w:r>
            <w:r>
              <w:rPr>
                <w:rFonts w:ascii="Arial" w:hAnsi="Arial" w:cs="Arial"/>
                <w:sz w:val="20"/>
                <w:szCs w:val="20"/>
                <w:lang w:val="en-US"/>
              </w:rPr>
              <w:t>3</w:t>
            </w:r>
          </w:p>
        </w:tc>
        <w:tc>
          <w:tcPr>
            <w:tcW w:w="1022" w:type="pct"/>
            <w:vMerge/>
          </w:tcPr>
          <w:p w:rsidR="005216DF" w:rsidRPr="006A68F2" w:rsidRDefault="005216DF" w:rsidP="006A68F2">
            <w:pPr>
              <w:spacing w:after="0" w:line="240" w:lineRule="auto"/>
              <w:jc w:val="center"/>
              <w:rPr>
                <w:rFonts w:ascii="Arial" w:hAnsi="Arial" w:cs="Arial"/>
                <w:color w:val="000000"/>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9.001.000 - 11.000.000</w:t>
            </w:r>
          </w:p>
        </w:tc>
        <w:tc>
          <w:tcPr>
            <w:tcW w:w="695" w:type="pct"/>
          </w:tcPr>
          <w:p w:rsidR="005216DF" w:rsidRPr="00055888" w:rsidRDefault="005216DF" w:rsidP="006A68F2">
            <w:pPr>
              <w:spacing w:after="0" w:line="240" w:lineRule="auto"/>
              <w:jc w:val="center"/>
              <w:rPr>
                <w:rFonts w:ascii="Arial" w:hAnsi="Arial" w:cs="Arial"/>
                <w:sz w:val="20"/>
                <w:szCs w:val="20"/>
                <w:lang w:val="en-US"/>
              </w:rPr>
            </w:pPr>
            <w:r>
              <w:rPr>
                <w:rFonts w:ascii="Arial" w:hAnsi="Arial" w:cs="Arial"/>
                <w:sz w:val="20"/>
                <w:szCs w:val="20"/>
                <w:lang w:val="en-US"/>
              </w:rPr>
              <w:t>2</w:t>
            </w:r>
          </w:p>
        </w:tc>
        <w:tc>
          <w:tcPr>
            <w:tcW w:w="1022" w:type="pct"/>
            <w:vMerge/>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&gt;11.000.000</w:t>
            </w:r>
          </w:p>
        </w:tc>
        <w:tc>
          <w:tcPr>
            <w:tcW w:w="695" w:type="pct"/>
          </w:tcPr>
          <w:p w:rsidR="005216DF" w:rsidRPr="005216DF" w:rsidRDefault="005216DF" w:rsidP="006A68F2">
            <w:pPr>
              <w:spacing w:after="0" w:line="240" w:lineRule="auto"/>
              <w:jc w:val="center"/>
              <w:rPr>
                <w:rFonts w:ascii="Arial" w:hAnsi="Arial" w:cs="Arial"/>
                <w:sz w:val="20"/>
                <w:szCs w:val="20"/>
                <w:lang w:val="en-US"/>
              </w:rPr>
            </w:pPr>
            <w:r>
              <w:rPr>
                <w:rFonts w:ascii="Arial" w:hAnsi="Arial" w:cs="Arial"/>
                <w:sz w:val="20"/>
                <w:szCs w:val="20"/>
                <w:lang w:val="en-US"/>
              </w:rPr>
              <w:t>8</w:t>
            </w:r>
          </w:p>
        </w:tc>
        <w:tc>
          <w:tcPr>
            <w:tcW w:w="1022" w:type="pct"/>
            <w:vMerge/>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rPr>
                <w:rFonts w:ascii="Arial" w:hAnsi="Arial" w:cs="Arial"/>
                <w:sz w:val="20"/>
                <w:szCs w:val="20"/>
              </w:rPr>
            </w:pPr>
            <w:r w:rsidRPr="006A68F2">
              <w:rPr>
                <w:rFonts w:ascii="Arial" w:hAnsi="Arial" w:cs="Arial"/>
                <w:sz w:val="20"/>
                <w:szCs w:val="20"/>
              </w:rPr>
              <w:t>Konversi pendapatan usahatani sebulan (Rp/bulan)</w:t>
            </w:r>
          </w:p>
        </w:tc>
        <w:tc>
          <w:tcPr>
            <w:tcW w:w="695" w:type="pct"/>
          </w:tcPr>
          <w:p w:rsidR="005216DF" w:rsidRPr="006A68F2" w:rsidRDefault="005216DF" w:rsidP="006A68F2">
            <w:pPr>
              <w:spacing w:after="0" w:line="240" w:lineRule="auto"/>
              <w:jc w:val="center"/>
              <w:rPr>
                <w:rFonts w:ascii="Arial" w:hAnsi="Arial" w:cs="Arial"/>
                <w:sz w:val="20"/>
                <w:szCs w:val="20"/>
              </w:rPr>
            </w:pPr>
          </w:p>
        </w:tc>
        <w:tc>
          <w:tcPr>
            <w:tcW w:w="1022" w:type="pct"/>
          </w:tcPr>
          <w:p w:rsidR="005216DF" w:rsidRPr="006A68F2" w:rsidRDefault="005216DF" w:rsidP="005216DF">
            <w:pPr>
              <w:spacing w:after="0" w:line="240" w:lineRule="auto"/>
              <w:jc w:val="center"/>
              <w:rPr>
                <w:rFonts w:ascii="Arial" w:hAnsi="Arial" w:cs="Arial"/>
                <w:sz w:val="20"/>
                <w:szCs w:val="20"/>
              </w:rPr>
            </w:pPr>
            <w:r w:rsidRPr="006A68F2">
              <w:rPr>
                <w:rFonts w:ascii="Arial" w:hAnsi="Arial" w:cs="Arial"/>
                <w:color w:val="000000"/>
                <w:sz w:val="20"/>
                <w:szCs w:val="20"/>
              </w:rPr>
              <w:t>Rp 1.</w:t>
            </w:r>
            <w:r>
              <w:rPr>
                <w:rFonts w:ascii="Arial" w:hAnsi="Arial" w:cs="Arial"/>
                <w:color w:val="000000"/>
                <w:sz w:val="20"/>
                <w:szCs w:val="20"/>
                <w:lang w:val="en-US"/>
              </w:rPr>
              <w:t>521</w:t>
            </w:r>
            <w:r w:rsidRPr="006A68F2">
              <w:rPr>
                <w:rFonts w:ascii="Arial" w:hAnsi="Arial" w:cs="Arial"/>
                <w:color w:val="000000"/>
                <w:sz w:val="20"/>
                <w:szCs w:val="20"/>
              </w:rPr>
              <w:t>.</w:t>
            </w:r>
            <w:r>
              <w:rPr>
                <w:rFonts w:ascii="Arial" w:hAnsi="Arial" w:cs="Arial"/>
                <w:color w:val="000000"/>
                <w:sz w:val="20"/>
                <w:szCs w:val="20"/>
                <w:lang w:val="en-US"/>
              </w:rPr>
              <w:t>60</w:t>
            </w:r>
            <w:r w:rsidRPr="006A68F2">
              <w:rPr>
                <w:rFonts w:ascii="Arial" w:hAnsi="Arial" w:cs="Arial"/>
                <w:color w:val="000000"/>
                <w:sz w:val="20"/>
                <w:szCs w:val="20"/>
              </w:rPr>
              <w:t>0</w:t>
            </w:r>
          </w:p>
        </w:tc>
      </w:tr>
      <w:tr w:rsidR="005216DF" w:rsidRPr="006A68F2" w:rsidTr="005216DF">
        <w:tc>
          <w:tcPr>
            <w:tcW w:w="3283" w:type="pct"/>
          </w:tcPr>
          <w:p w:rsidR="005216DF" w:rsidRPr="006A68F2" w:rsidRDefault="005216DF" w:rsidP="006A68F2">
            <w:pPr>
              <w:tabs>
                <w:tab w:val="right" w:pos="3470"/>
              </w:tabs>
              <w:spacing w:after="0" w:line="240" w:lineRule="auto"/>
              <w:rPr>
                <w:rFonts w:ascii="Arial" w:hAnsi="Arial" w:cs="Arial"/>
                <w:sz w:val="20"/>
                <w:szCs w:val="20"/>
              </w:rPr>
            </w:pPr>
            <w:r w:rsidRPr="006A68F2">
              <w:rPr>
                <w:rFonts w:ascii="Arial" w:hAnsi="Arial" w:cs="Arial"/>
                <w:sz w:val="20"/>
                <w:szCs w:val="20"/>
              </w:rPr>
              <w:t>Jenis tanaman</w:t>
            </w:r>
            <w:r w:rsidRPr="006A68F2">
              <w:rPr>
                <w:rFonts w:ascii="Arial" w:hAnsi="Arial" w:cs="Arial"/>
                <w:sz w:val="20"/>
                <w:szCs w:val="20"/>
              </w:rPr>
              <w:tab/>
            </w:r>
          </w:p>
        </w:tc>
        <w:tc>
          <w:tcPr>
            <w:tcW w:w="695" w:type="pct"/>
          </w:tcPr>
          <w:p w:rsidR="005216DF" w:rsidRPr="006A68F2" w:rsidRDefault="005216DF" w:rsidP="006A68F2">
            <w:pPr>
              <w:spacing w:after="0" w:line="240" w:lineRule="auto"/>
              <w:jc w:val="center"/>
              <w:rPr>
                <w:rFonts w:ascii="Arial" w:hAnsi="Arial" w:cs="Arial"/>
                <w:sz w:val="20"/>
                <w:szCs w:val="20"/>
              </w:rPr>
            </w:pPr>
          </w:p>
        </w:tc>
        <w:tc>
          <w:tcPr>
            <w:tcW w:w="1022" w:type="pct"/>
          </w:tcPr>
          <w:p w:rsidR="005216DF" w:rsidRPr="006A68F2" w:rsidRDefault="005216DF" w:rsidP="006A68F2">
            <w:pPr>
              <w:spacing w:after="0" w:line="240" w:lineRule="auto"/>
              <w:jc w:val="center"/>
              <w:rPr>
                <w:rFonts w:ascii="Arial" w:hAnsi="Arial" w:cs="Arial"/>
                <w:color w:val="000000"/>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Cabai</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31</w:t>
            </w:r>
          </w:p>
        </w:tc>
        <w:tc>
          <w:tcPr>
            <w:tcW w:w="1022" w:type="pct"/>
          </w:tcPr>
          <w:p w:rsidR="005216DF" w:rsidRPr="007C7708" w:rsidRDefault="007C7708" w:rsidP="007C7708">
            <w:pPr>
              <w:spacing w:after="0" w:line="240" w:lineRule="auto"/>
              <w:jc w:val="center"/>
              <w:rPr>
                <w:rFonts w:ascii="Arial" w:hAnsi="Arial" w:cs="Arial"/>
                <w:sz w:val="20"/>
                <w:szCs w:val="20"/>
                <w:lang w:val="en-US"/>
              </w:rPr>
            </w:pPr>
            <w:r>
              <w:rPr>
                <w:rFonts w:ascii="Arial" w:hAnsi="Arial" w:cs="Arial"/>
                <w:sz w:val="20"/>
                <w:szCs w:val="20"/>
                <w:lang w:val="en-US"/>
              </w:rPr>
              <w:t>terbanyak</w:t>
            </w: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Tembakau</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24</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Padi</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19</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Jagung</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16</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Bawang merah</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5</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Semangka</w:t>
            </w:r>
          </w:p>
        </w:tc>
        <w:tc>
          <w:tcPr>
            <w:tcW w:w="695" w:type="pct"/>
          </w:tcPr>
          <w:p w:rsidR="005216DF" w:rsidRPr="003509FA" w:rsidRDefault="003509FA" w:rsidP="006A68F2">
            <w:pPr>
              <w:spacing w:after="0" w:line="240" w:lineRule="auto"/>
              <w:jc w:val="center"/>
              <w:rPr>
                <w:rFonts w:ascii="Arial" w:hAnsi="Arial" w:cs="Arial"/>
                <w:sz w:val="20"/>
                <w:szCs w:val="20"/>
                <w:lang w:val="en-US"/>
              </w:rPr>
            </w:pPr>
            <w:r>
              <w:rPr>
                <w:rFonts w:ascii="Arial" w:hAnsi="Arial" w:cs="Arial"/>
                <w:sz w:val="20"/>
                <w:szCs w:val="20"/>
                <w:lang w:val="en-US"/>
              </w:rPr>
              <w:t>3</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r w:rsidRPr="006A68F2">
              <w:rPr>
                <w:rFonts w:ascii="Arial" w:hAnsi="Arial" w:cs="Arial"/>
                <w:sz w:val="20"/>
                <w:szCs w:val="20"/>
              </w:rPr>
              <w:t>Kacang tanah</w:t>
            </w:r>
          </w:p>
        </w:tc>
        <w:tc>
          <w:tcPr>
            <w:tcW w:w="695" w:type="pct"/>
          </w:tcPr>
          <w:p w:rsidR="005216DF" w:rsidRPr="006A68F2" w:rsidRDefault="005216DF" w:rsidP="006A68F2">
            <w:pPr>
              <w:spacing w:after="0" w:line="240" w:lineRule="auto"/>
              <w:jc w:val="center"/>
              <w:rPr>
                <w:rFonts w:ascii="Arial" w:hAnsi="Arial" w:cs="Arial"/>
                <w:sz w:val="20"/>
                <w:szCs w:val="20"/>
              </w:rPr>
            </w:pPr>
            <w:r w:rsidRPr="006A68F2">
              <w:rPr>
                <w:rFonts w:ascii="Arial" w:hAnsi="Arial" w:cs="Arial"/>
                <w:sz w:val="20"/>
                <w:szCs w:val="20"/>
              </w:rPr>
              <w:t>2</w:t>
            </w:r>
          </w:p>
        </w:tc>
        <w:tc>
          <w:tcPr>
            <w:tcW w:w="1022" w:type="pct"/>
          </w:tcPr>
          <w:p w:rsidR="005216DF" w:rsidRPr="006A68F2" w:rsidRDefault="005216DF" w:rsidP="006A68F2">
            <w:pPr>
              <w:spacing w:after="0" w:line="240" w:lineRule="auto"/>
              <w:rPr>
                <w:rFonts w:ascii="Arial" w:hAnsi="Arial" w:cs="Arial"/>
                <w:sz w:val="20"/>
                <w:szCs w:val="20"/>
              </w:rPr>
            </w:pPr>
          </w:p>
        </w:tc>
      </w:tr>
      <w:tr w:rsidR="005216DF" w:rsidRPr="006A68F2" w:rsidTr="005216DF">
        <w:tc>
          <w:tcPr>
            <w:tcW w:w="3283" w:type="pct"/>
          </w:tcPr>
          <w:p w:rsidR="005216DF" w:rsidRPr="006A68F2" w:rsidRDefault="005216DF" w:rsidP="006A68F2">
            <w:pPr>
              <w:spacing w:after="0" w:line="240" w:lineRule="auto"/>
              <w:ind w:left="318"/>
              <w:rPr>
                <w:rFonts w:ascii="Arial" w:hAnsi="Arial" w:cs="Arial"/>
                <w:sz w:val="20"/>
                <w:szCs w:val="20"/>
              </w:rPr>
            </w:pPr>
          </w:p>
        </w:tc>
        <w:tc>
          <w:tcPr>
            <w:tcW w:w="695" w:type="pct"/>
          </w:tcPr>
          <w:p w:rsidR="005216DF" w:rsidRPr="006A68F2" w:rsidRDefault="005216DF" w:rsidP="006A68F2">
            <w:pPr>
              <w:spacing w:after="0" w:line="240" w:lineRule="auto"/>
              <w:jc w:val="center"/>
              <w:rPr>
                <w:rFonts w:ascii="Arial" w:hAnsi="Arial" w:cs="Arial"/>
                <w:sz w:val="20"/>
                <w:szCs w:val="20"/>
              </w:rPr>
            </w:pPr>
          </w:p>
        </w:tc>
        <w:tc>
          <w:tcPr>
            <w:tcW w:w="1022" w:type="pct"/>
          </w:tcPr>
          <w:p w:rsidR="005216DF" w:rsidRPr="006A68F2" w:rsidRDefault="005216DF" w:rsidP="006A68F2">
            <w:pPr>
              <w:spacing w:after="0" w:line="240" w:lineRule="auto"/>
              <w:rPr>
                <w:rFonts w:ascii="Arial" w:hAnsi="Arial" w:cs="Arial"/>
                <w:sz w:val="20"/>
                <w:szCs w:val="20"/>
              </w:rPr>
            </w:pPr>
          </w:p>
        </w:tc>
      </w:tr>
    </w:tbl>
    <w:p w:rsidR="00377C91" w:rsidRDefault="00377C91" w:rsidP="00377C91">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5E1F42" w:rsidRDefault="005E1F42" w:rsidP="005E1F42">
      <w:pPr>
        <w:spacing w:before="120" w:after="0"/>
        <w:jc w:val="both"/>
        <w:rPr>
          <w:rFonts w:ascii="Arial" w:hAnsi="Arial" w:cs="Arial"/>
          <w:b/>
          <w:lang w:val="en-US"/>
        </w:rPr>
      </w:pPr>
    </w:p>
    <w:p w:rsidR="005E1F42" w:rsidRPr="00FF0660" w:rsidRDefault="005E1F42" w:rsidP="005E1F42">
      <w:pPr>
        <w:spacing w:before="120" w:after="0"/>
        <w:jc w:val="both"/>
        <w:rPr>
          <w:rFonts w:ascii="Arial" w:hAnsi="Arial" w:cs="Arial"/>
          <w:b/>
          <w:lang w:val="en-US"/>
        </w:rPr>
      </w:pPr>
      <w:r w:rsidRPr="00FF0660">
        <w:rPr>
          <w:rFonts w:ascii="Arial" w:hAnsi="Arial" w:cs="Arial"/>
          <w:b/>
          <w:lang w:val="en-US"/>
        </w:rPr>
        <w:lastRenderedPageBreak/>
        <w:t>Karakeristik Usahatani</w:t>
      </w:r>
    </w:p>
    <w:p w:rsidR="005E1F42" w:rsidRDefault="005E1F42" w:rsidP="005E3958">
      <w:pPr>
        <w:spacing w:after="0" w:line="240" w:lineRule="auto"/>
        <w:jc w:val="both"/>
        <w:rPr>
          <w:rFonts w:ascii="Arial" w:hAnsi="Arial" w:cs="Arial"/>
          <w:lang w:val="en-US"/>
        </w:rPr>
      </w:pPr>
      <w:r>
        <w:rPr>
          <w:rFonts w:ascii="Arial" w:hAnsi="Arial" w:cs="Arial"/>
          <w:lang w:val="en-US"/>
        </w:rPr>
        <w:t xml:space="preserve">Tabel 3 menunjukkan bahwa rata-rata pemilikah lahan pertanian hanya seluas 0,31 Ha. Jumlah petani yang memiliki luas lahan di atas 0,5 Ha hanya sejumlah sembilan responden. </w:t>
      </w:r>
      <w:r w:rsidRPr="005D01F2">
        <w:rPr>
          <w:rFonts w:ascii="Arial" w:hAnsi="Arial" w:cs="Arial"/>
          <w:lang w:val="en-US"/>
        </w:rPr>
        <w:t>Sejumlah 21 orang (21%) responden</w:t>
      </w:r>
      <w:r>
        <w:rPr>
          <w:rFonts w:ascii="Arial" w:hAnsi="Arial" w:cs="Arial"/>
          <w:lang w:val="en-US"/>
        </w:rPr>
        <w:t xml:space="preserve"> bahkan tidak mempunyai lahan milik, mereka </w:t>
      </w:r>
      <w:r w:rsidRPr="006A68F2">
        <w:rPr>
          <w:rFonts w:ascii="Arial" w:hAnsi="Arial" w:cs="Arial"/>
          <w:lang w:val="en-US"/>
        </w:rPr>
        <w:t>hanya</w:t>
      </w:r>
      <w:r>
        <w:rPr>
          <w:rFonts w:ascii="Arial" w:hAnsi="Arial" w:cs="Arial"/>
          <w:lang w:val="en-US"/>
        </w:rPr>
        <w:t xml:space="preserve"> mengandalkan Waduk Pacal untuk </w:t>
      </w:r>
      <w:r w:rsidRPr="006A68F2">
        <w:rPr>
          <w:rFonts w:ascii="Arial" w:hAnsi="Arial" w:cs="Arial"/>
          <w:lang w:val="en-US"/>
        </w:rPr>
        <w:t>berusahatani</w:t>
      </w:r>
      <w:r>
        <w:rPr>
          <w:rFonts w:ascii="Arial" w:hAnsi="Arial" w:cs="Arial"/>
          <w:lang w:val="en-US"/>
        </w:rPr>
        <w:t>. Petani pada kondisi demikian bekerja sebagai buruh tani dan pekerjaan non pertanian untuk menambah pendapatan keluarga.</w:t>
      </w:r>
      <w:r w:rsidR="005E3958">
        <w:rPr>
          <w:rFonts w:ascii="Arial" w:hAnsi="Arial" w:cs="Arial"/>
          <w:lang w:val="en-US"/>
        </w:rPr>
        <w:t xml:space="preserve"> Namun karena lapangan pekerjaan di desa juga terbatas, maka tidak semua petani memperoleh kesempatan bekerja non-pertanian.</w:t>
      </w:r>
    </w:p>
    <w:p w:rsidR="005E3958" w:rsidRDefault="005E3958" w:rsidP="000D7714">
      <w:pPr>
        <w:spacing w:after="120" w:line="240" w:lineRule="auto"/>
        <w:ind w:firstLine="709"/>
        <w:jc w:val="both"/>
        <w:rPr>
          <w:rFonts w:ascii="Arial" w:hAnsi="Arial" w:cs="Arial"/>
          <w:lang w:val="en-US"/>
        </w:rPr>
      </w:pPr>
      <w:r>
        <w:rPr>
          <w:rFonts w:ascii="Arial" w:hAnsi="Arial" w:cs="Arial"/>
          <w:lang w:val="en-US"/>
        </w:rPr>
        <w:t>Tanaman yang banyak dibudidayakan adalah cabai dan tembakau.</w:t>
      </w:r>
      <w:r w:rsidR="000D7714">
        <w:rPr>
          <w:rFonts w:ascii="Arial" w:hAnsi="Arial" w:cs="Arial"/>
          <w:lang w:val="en-US"/>
        </w:rPr>
        <w:t xml:space="preserve"> Sebagian kecil petani ada yang menanam bawang merah. Petani bawang merah ini yang mempunyai pendapatan usahatani paling besar hingga Rp 20.000.000</w:t>
      </w:r>
      <w:r w:rsidR="000C711B">
        <w:rPr>
          <w:rFonts w:ascii="Arial" w:hAnsi="Arial" w:cs="Arial"/>
          <w:lang w:val="en-US"/>
        </w:rPr>
        <w:t xml:space="preserve"> semusim</w:t>
      </w:r>
      <w:r w:rsidR="000D7714">
        <w:rPr>
          <w:rFonts w:ascii="Arial" w:hAnsi="Arial" w:cs="Arial"/>
          <w:lang w:val="en-US"/>
        </w:rPr>
        <w:t xml:space="preserve">, </w:t>
      </w:r>
      <w:r w:rsidR="000D7714">
        <w:rPr>
          <w:rFonts w:ascii="Arial" w:eastAsia="Times New Roman" w:hAnsi="Arial" w:cs="Arial"/>
          <w:color w:val="000000"/>
          <w:lang w:val="en-US"/>
        </w:rPr>
        <w:t>karena saat p</w:t>
      </w:r>
      <w:r w:rsidR="000D7714" w:rsidRPr="00377C91">
        <w:rPr>
          <w:rFonts w:ascii="Arial" w:eastAsia="Times New Roman" w:hAnsi="Arial" w:cs="Arial"/>
          <w:color w:val="000000"/>
          <w:lang w:val="en-US"/>
        </w:rPr>
        <w:t>en</w:t>
      </w:r>
      <w:r w:rsidR="000D7714">
        <w:rPr>
          <w:rFonts w:ascii="Arial" w:eastAsia="Times New Roman" w:hAnsi="Arial" w:cs="Arial"/>
          <w:color w:val="000000"/>
          <w:lang w:val="en-US"/>
        </w:rPr>
        <w:t>e</w:t>
      </w:r>
      <w:r w:rsidR="000D7714" w:rsidRPr="00377C91">
        <w:rPr>
          <w:rFonts w:ascii="Arial" w:eastAsia="Times New Roman" w:hAnsi="Arial" w:cs="Arial"/>
          <w:color w:val="000000"/>
          <w:lang w:val="en-US"/>
        </w:rPr>
        <w:t xml:space="preserve">litian </w:t>
      </w:r>
      <w:r w:rsidR="000D7714">
        <w:rPr>
          <w:rFonts w:ascii="Arial" w:eastAsia="Times New Roman" w:hAnsi="Arial" w:cs="Arial"/>
          <w:color w:val="000000"/>
          <w:lang w:val="en-US"/>
        </w:rPr>
        <w:t>dilakukan</w:t>
      </w:r>
      <w:r w:rsidR="000D7714" w:rsidRPr="00377C91">
        <w:rPr>
          <w:rFonts w:ascii="Arial" w:eastAsia="Times New Roman" w:hAnsi="Arial" w:cs="Arial"/>
          <w:color w:val="000000"/>
          <w:lang w:val="en-US"/>
        </w:rPr>
        <w:t xml:space="preserve"> harga </w:t>
      </w:r>
      <w:r w:rsidR="000D7714">
        <w:rPr>
          <w:rFonts w:ascii="Arial" w:eastAsia="Times New Roman" w:hAnsi="Arial" w:cs="Arial"/>
          <w:color w:val="000000"/>
          <w:lang w:val="en-US"/>
        </w:rPr>
        <w:t xml:space="preserve">bawang merah cukup </w:t>
      </w:r>
      <w:r w:rsidR="000D7714" w:rsidRPr="00377C91">
        <w:rPr>
          <w:rFonts w:ascii="Arial" w:eastAsia="Times New Roman" w:hAnsi="Arial" w:cs="Arial"/>
          <w:color w:val="000000"/>
          <w:lang w:val="en-US"/>
        </w:rPr>
        <w:t>mahal</w:t>
      </w:r>
      <w:r w:rsidR="000D7714">
        <w:rPr>
          <w:rFonts w:ascii="Arial" w:eastAsia="Times New Roman" w:hAnsi="Arial" w:cs="Arial"/>
          <w:color w:val="000000"/>
          <w:lang w:val="en-US"/>
        </w:rPr>
        <w:t>. Kontribusi sebagian kecil petani dalam analisis menyebabkan</w:t>
      </w:r>
      <w:r w:rsidR="000D7714">
        <w:rPr>
          <w:rFonts w:ascii="Arial" w:hAnsi="Arial" w:cs="Arial"/>
          <w:lang w:val="en-US"/>
        </w:rPr>
        <w:t xml:space="preserve"> rata-rata pendapatan usahatani menjadi besar.</w:t>
      </w:r>
    </w:p>
    <w:p w:rsidR="00CD49A5" w:rsidRPr="00CD49A5" w:rsidRDefault="00CD49A5" w:rsidP="00FF0660">
      <w:pPr>
        <w:spacing w:after="0" w:line="240" w:lineRule="auto"/>
        <w:rPr>
          <w:rFonts w:ascii="Arial" w:hAnsi="Arial" w:cs="Arial"/>
          <w:b/>
          <w:lang w:val="en-US"/>
        </w:rPr>
      </w:pPr>
      <w:r w:rsidRPr="00CD49A5">
        <w:rPr>
          <w:rFonts w:ascii="Arial" w:hAnsi="Arial" w:cs="Arial"/>
          <w:b/>
          <w:lang w:val="en-US"/>
        </w:rPr>
        <w:t>Pendapatan Petani</w:t>
      </w:r>
    </w:p>
    <w:p w:rsidR="002E6346" w:rsidRDefault="00FF0660" w:rsidP="00DE5AB2">
      <w:pPr>
        <w:spacing w:after="0" w:line="240" w:lineRule="auto"/>
        <w:jc w:val="both"/>
        <w:rPr>
          <w:rFonts w:ascii="Arial" w:eastAsia="Times New Roman" w:hAnsi="Arial" w:cs="Arial"/>
          <w:color w:val="000000"/>
          <w:lang w:val="en-US"/>
        </w:rPr>
      </w:pPr>
      <w:r>
        <w:rPr>
          <w:rFonts w:ascii="Arial" w:eastAsia="Times New Roman" w:hAnsi="Arial" w:cs="Arial"/>
          <w:color w:val="000000"/>
          <w:lang w:val="en-US"/>
        </w:rPr>
        <w:t xml:space="preserve">Tabel 4 menunjukkan </w:t>
      </w:r>
      <w:r w:rsidR="000C711B">
        <w:rPr>
          <w:rFonts w:ascii="Arial" w:eastAsia="Times New Roman" w:hAnsi="Arial" w:cs="Arial"/>
          <w:color w:val="000000"/>
          <w:lang w:val="en-US"/>
        </w:rPr>
        <w:t xml:space="preserve">rincian </w:t>
      </w:r>
      <w:r>
        <w:rPr>
          <w:rFonts w:ascii="Arial" w:eastAsia="Times New Roman" w:hAnsi="Arial" w:cs="Arial"/>
          <w:color w:val="000000"/>
          <w:lang w:val="en-US"/>
        </w:rPr>
        <w:t xml:space="preserve">pendapatan usahatani </w:t>
      </w:r>
      <w:r w:rsidR="000C711B">
        <w:rPr>
          <w:rFonts w:ascii="Arial" w:eastAsia="Times New Roman" w:hAnsi="Arial" w:cs="Arial"/>
          <w:color w:val="000000"/>
          <w:lang w:val="en-US"/>
        </w:rPr>
        <w:t xml:space="preserve">dari berbagai sumber. Sumber utama adalah pendapatan usahatani yang dihitung selama satu musim. </w:t>
      </w:r>
      <w:r w:rsidR="00DE5AB2">
        <w:rPr>
          <w:rFonts w:ascii="Arial" w:eastAsia="Times New Roman" w:hAnsi="Arial" w:cs="Arial"/>
          <w:color w:val="000000"/>
          <w:lang w:val="en-US"/>
        </w:rPr>
        <w:t>Selanjutnya p</w:t>
      </w:r>
      <w:r>
        <w:rPr>
          <w:rFonts w:ascii="Arial" w:eastAsia="Times New Roman" w:hAnsi="Arial" w:cs="Arial"/>
          <w:color w:val="000000"/>
          <w:lang w:val="en-US"/>
        </w:rPr>
        <w:t xml:space="preserve">endapatan </w:t>
      </w:r>
      <w:r w:rsidR="000C711B">
        <w:rPr>
          <w:rFonts w:ascii="Arial" w:eastAsia="Times New Roman" w:hAnsi="Arial" w:cs="Arial"/>
          <w:color w:val="000000"/>
          <w:lang w:val="en-US"/>
        </w:rPr>
        <w:t xml:space="preserve">usahatani </w:t>
      </w:r>
      <w:r>
        <w:rPr>
          <w:rFonts w:ascii="Arial" w:eastAsia="Times New Roman" w:hAnsi="Arial" w:cs="Arial"/>
          <w:color w:val="000000"/>
          <w:lang w:val="en-US"/>
        </w:rPr>
        <w:t>satu musim dibagi empat</w:t>
      </w:r>
      <w:r w:rsidR="00DE5AB2">
        <w:rPr>
          <w:rFonts w:ascii="Arial" w:eastAsia="Times New Roman" w:hAnsi="Arial" w:cs="Arial"/>
          <w:color w:val="000000"/>
          <w:lang w:val="en-US"/>
        </w:rPr>
        <w:t xml:space="preserve"> untuk memperoleh konversi pendapatan usahatani selama satu bulan. Maksud konversi pe</w:t>
      </w:r>
      <w:r w:rsidR="005E1F42">
        <w:rPr>
          <w:rFonts w:ascii="Arial" w:eastAsia="Times New Roman" w:hAnsi="Arial" w:cs="Arial"/>
          <w:color w:val="000000"/>
          <w:lang w:val="en-US"/>
        </w:rPr>
        <w:t>n</w:t>
      </w:r>
      <w:r w:rsidR="00DE5AB2">
        <w:rPr>
          <w:rFonts w:ascii="Arial" w:eastAsia="Times New Roman" w:hAnsi="Arial" w:cs="Arial"/>
          <w:color w:val="000000"/>
          <w:lang w:val="en-US"/>
        </w:rPr>
        <w:t>dapatan bulanan ini adalah</w:t>
      </w:r>
      <w:r w:rsidRPr="00377C91">
        <w:rPr>
          <w:rFonts w:ascii="Arial" w:eastAsia="Times New Roman" w:hAnsi="Arial" w:cs="Arial"/>
          <w:color w:val="000000"/>
          <w:lang w:val="en-US"/>
        </w:rPr>
        <w:t xml:space="preserve"> agar dapat dijumlahkan dengan</w:t>
      </w:r>
      <w:r>
        <w:rPr>
          <w:rFonts w:ascii="Arial" w:eastAsia="Times New Roman" w:hAnsi="Arial" w:cs="Arial"/>
          <w:color w:val="000000"/>
          <w:lang w:val="en-US"/>
        </w:rPr>
        <w:t xml:space="preserve"> sumber pendapatan lain</w:t>
      </w:r>
      <w:r w:rsidR="00DE5AB2">
        <w:rPr>
          <w:rFonts w:ascii="Arial" w:eastAsia="Times New Roman" w:hAnsi="Arial" w:cs="Arial"/>
          <w:color w:val="000000"/>
          <w:lang w:val="en-US"/>
        </w:rPr>
        <w:t xml:space="preserve"> dan untuk perhitungan alokasi konsumsi belanja pangan.</w:t>
      </w:r>
    </w:p>
    <w:p w:rsidR="00DE5AB2" w:rsidRDefault="00DE5AB2" w:rsidP="00DE5AB2">
      <w:pPr>
        <w:spacing w:after="0" w:line="240" w:lineRule="auto"/>
        <w:jc w:val="both"/>
        <w:rPr>
          <w:rFonts w:ascii="Arial" w:hAnsi="Arial" w:cs="Arial"/>
          <w:lang w:val="en-US"/>
        </w:rPr>
      </w:pPr>
    </w:p>
    <w:p w:rsidR="00961DF8" w:rsidRPr="004F445E" w:rsidRDefault="004F445E" w:rsidP="00961DF8">
      <w:pPr>
        <w:spacing w:after="0" w:line="240" w:lineRule="auto"/>
        <w:jc w:val="center"/>
        <w:rPr>
          <w:rFonts w:ascii="Arial" w:hAnsi="Arial" w:cs="Arial"/>
          <w:b/>
          <w:lang w:val="en-US"/>
        </w:rPr>
      </w:pPr>
      <w:r>
        <w:rPr>
          <w:rFonts w:ascii="Arial" w:hAnsi="Arial" w:cs="Arial"/>
          <w:b/>
        </w:rPr>
        <w:t xml:space="preserve">Tabel </w:t>
      </w:r>
      <w:r>
        <w:rPr>
          <w:rFonts w:ascii="Arial" w:hAnsi="Arial" w:cs="Arial"/>
          <w:b/>
          <w:lang w:val="en-US"/>
        </w:rPr>
        <w:t>4</w:t>
      </w:r>
    </w:p>
    <w:p w:rsidR="00961DF8" w:rsidRPr="00575F69" w:rsidRDefault="00961DF8" w:rsidP="00961DF8">
      <w:pPr>
        <w:spacing w:after="0" w:line="240" w:lineRule="auto"/>
        <w:jc w:val="center"/>
        <w:rPr>
          <w:rFonts w:ascii="Arial" w:hAnsi="Arial" w:cs="Arial"/>
          <w:b/>
        </w:rPr>
      </w:pPr>
      <w:r w:rsidRPr="00575F69">
        <w:rPr>
          <w:rFonts w:ascii="Arial" w:hAnsi="Arial" w:cs="Arial"/>
          <w:b/>
        </w:rPr>
        <w:t xml:space="preserve">Rincian Pendapatan Petani Sekitar </w:t>
      </w:r>
      <w:r>
        <w:rPr>
          <w:rFonts w:ascii="Arial" w:hAnsi="Arial" w:cs="Arial"/>
          <w:b/>
        </w:rPr>
        <w:t>“</w:t>
      </w:r>
      <w:r w:rsidRPr="00575F69">
        <w:rPr>
          <w:rFonts w:ascii="Arial" w:hAnsi="Arial" w:cs="Arial"/>
          <w:b/>
        </w:rPr>
        <w:t>Waduk Pacal</w:t>
      </w:r>
      <w:r>
        <w:rPr>
          <w:rFonts w:ascii="Arial" w:hAnsi="Arial" w:cs="Arial"/>
          <w:b/>
        </w:rPr>
        <w: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52"/>
        <w:gridCol w:w="2410"/>
        <w:gridCol w:w="2092"/>
      </w:tblGrid>
      <w:tr w:rsidR="00961DF8" w:rsidRPr="00575F69" w:rsidTr="00666160">
        <w:tc>
          <w:tcPr>
            <w:tcW w:w="3652" w:type="dxa"/>
            <w:tcBorders>
              <w:bottom w:val="single" w:sz="4" w:space="0" w:color="auto"/>
            </w:tcBorders>
            <w:vAlign w:val="bottom"/>
          </w:tcPr>
          <w:p w:rsidR="00961DF8" w:rsidRPr="00575F69" w:rsidRDefault="00961DF8"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Rincian pendapatan</w:t>
            </w:r>
          </w:p>
        </w:tc>
        <w:tc>
          <w:tcPr>
            <w:tcW w:w="2410" w:type="dxa"/>
            <w:tcBorders>
              <w:bottom w:val="single" w:sz="4" w:space="0" w:color="auto"/>
            </w:tcBorders>
            <w:vAlign w:val="bottom"/>
          </w:tcPr>
          <w:p w:rsidR="00961DF8" w:rsidRPr="00575F69" w:rsidRDefault="00961DF8"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Kisaran</w:t>
            </w:r>
          </w:p>
        </w:tc>
        <w:tc>
          <w:tcPr>
            <w:tcW w:w="2092" w:type="dxa"/>
            <w:tcBorders>
              <w:bottom w:val="single" w:sz="4" w:space="0" w:color="auto"/>
            </w:tcBorders>
            <w:vAlign w:val="bottom"/>
          </w:tcPr>
          <w:p w:rsidR="00961DF8" w:rsidRPr="00575F69" w:rsidRDefault="00961DF8"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Rata-rata</w:t>
            </w:r>
          </w:p>
        </w:tc>
      </w:tr>
      <w:tr w:rsidR="00961DF8" w:rsidRPr="00575F69" w:rsidTr="00666160">
        <w:tc>
          <w:tcPr>
            <w:tcW w:w="3652" w:type="dxa"/>
            <w:tcBorders>
              <w:top w:val="single" w:sz="4" w:space="0" w:color="auto"/>
              <w:bottom w:val="nil"/>
            </w:tcBorders>
          </w:tcPr>
          <w:p w:rsidR="00961DF8" w:rsidRPr="00575F69" w:rsidRDefault="00961DF8"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Luas pemilikan lahan (Ha)</w:t>
            </w:r>
          </w:p>
        </w:tc>
        <w:tc>
          <w:tcPr>
            <w:tcW w:w="2410" w:type="dxa"/>
            <w:tcBorders>
              <w:top w:val="single" w:sz="4" w:space="0" w:color="auto"/>
              <w:bottom w:val="nil"/>
            </w:tcBorders>
          </w:tcPr>
          <w:p w:rsidR="00961DF8" w:rsidRPr="00575F69" w:rsidRDefault="00961DF8" w:rsidP="006A68F2">
            <w:pPr>
              <w:spacing w:after="0" w:line="240" w:lineRule="auto"/>
              <w:jc w:val="center"/>
              <w:rPr>
                <w:rFonts w:ascii="Arial" w:eastAsia="Times New Roman" w:hAnsi="Arial" w:cs="Arial"/>
                <w:sz w:val="20"/>
                <w:szCs w:val="20"/>
              </w:rPr>
            </w:pPr>
            <w:r w:rsidRPr="00575F69">
              <w:rPr>
                <w:rFonts w:ascii="Arial" w:eastAsia="Times New Roman" w:hAnsi="Arial" w:cs="Arial"/>
                <w:sz w:val="20"/>
                <w:szCs w:val="20"/>
              </w:rPr>
              <w:t>0 - 0,75</w:t>
            </w:r>
          </w:p>
        </w:tc>
        <w:tc>
          <w:tcPr>
            <w:tcW w:w="2092" w:type="dxa"/>
            <w:tcBorders>
              <w:top w:val="single" w:sz="4" w:space="0" w:color="auto"/>
              <w:bottom w:val="nil"/>
            </w:tcBorders>
          </w:tcPr>
          <w:p w:rsidR="00961DF8" w:rsidRPr="00042F5B" w:rsidRDefault="00961DF8" w:rsidP="006A68F2">
            <w:pPr>
              <w:spacing w:after="0" w:line="240" w:lineRule="auto"/>
              <w:jc w:val="center"/>
              <w:rPr>
                <w:rFonts w:ascii="Arial" w:eastAsia="Times New Roman" w:hAnsi="Arial" w:cs="Arial"/>
                <w:sz w:val="20"/>
                <w:szCs w:val="20"/>
                <w:lang w:val="en-US"/>
              </w:rPr>
            </w:pPr>
            <w:r w:rsidRPr="00575F69">
              <w:rPr>
                <w:rFonts w:ascii="Arial" w:eastAsia="Times New Roman" w:hAnsi="Arial" w:cs="Arial"/>
                <w:sz w:val="20"/>
                <w:szCs w:val="20"/>
              </w:rPr>
              <w:t>0,3</w:t>
            </w:r>
            <w:r w:rsidR="00042F5B">
              <w:rPr>
                <w:rFonts w:ascii="Arial" w:eastAsia="Times New Roman" w:hAnsi="Arial" w:cs="Arial"/>
                <w:sz w:val="20"/>
                <w:szCs w:val="20"/>
                <w:lang w:val="en-US"/>
              </w:rPr>
              <w:t>1</w:t>
            </w:r>
          </w:p>
        </w:tc>
      </w:tr>
      <w:tr w:rsidR="00961DF8" w:rsidRPr="00575F69" w:rsidTr="00666160">
        <w:tc>
          <w:tcPr>
            <w:tcW w:w="3652" w:type="dxa"/>
            <w:tcBorders>
              <w:top w:val="nil"/>
            </w:tcBorders>
          </w:tcPr>
          <w:p w:rsidR="00961DF8" w:rsidRPr="00575F69" w:rsidRDefault="00961DF8" w:rsidP="00042F5B">
            <w:pPr>
              <w:spacing w:after="0" w:line="240" w:lineRule="auto"/>
              <w:rPr>
                <w:rFonts w:ascii="Arial" w:eastAsia="Times New Roman" w:hAnsi="Arial" w:cs="Arial"/>
                <w:sz w:val="20"/>
                <w:szCs w:val="20"/>
              </w:rPr>
            </w:pPr>
            <w:r w:rsidRPr="00575F69">
              <w:rPr>
                <w:rFonts w:ascii="Arial" w:eastAsia="Times New Roman" w:hAnsi="Arial" w:cs="Arial"/>
                <w:sz w:val="20"/>
                <w:szCs w:val="20"/>
              </w:rPr>
              <w:t>Pendapatan usahatani (Rp/</w:t>
            </w:r>
            <w:r w:rsidR="00042F5B">
              <w:rPr>
                <w:rFonts w:ascii="Arial" w:eastAsia="Times New Roman" w:hAnsi="Arial" w:cs="Arial"/>
                <w:sz w:val="20"/>
                <w:szCs w:val="20"/>
                <w:lang w:val="en-US"/>
              </w:rPr>
              <w:t>musim</w:t>
            </w:r>
            <w:r w:rsidRPr="00575F69">
              <w:rPr>
                <w:rFonts w:ascii="Arial" w:eastAsia="Times New Roman" w:hAnsi="Arial" w:cs="Arial"/>
                <w:sz w:val="20"/>
                <w:szCs w:val="20"/>
              </w:rPr>
              <w:t>)</w:t>
            </w:r>
          </w:p>
        </w:tc>
        <w:tc>
          <w:tcPr>
            <w:tcW w:w="2410" w:type="dxa"/>
            <w:tcBorders>
              <w:top w:val="nil"/>
            </w:tcBorders>
          </w:tcPr>
          <w:p w:rsidR="00961DF8" w:rsidRPr="00575F69" w:rsidRDefault="00042F5B" w:rsidP="00042F5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1.000</w:t>
            </w:r>
            <w:r w:rsidR="00961DF8" w:rsidRPr="00575F69">
              <w:rPr>
                <w:rFonts w:ascii="Arial" w:eastAsia="Times New Roman" w:hAnsi="Arial" w:cs="Arial"/>
                <w:color w:val="000000"/>
                <w:sz w:val="20"/>
                <w:szCs w:val="20"/>
              </w:rPr>
              <w:t xml:space="preserve">.000 – </w:t>
            </w:r>
            <w:r w:rsidR="00F43B97">
              <w:rPr>
                <w:rFonts w:ascii="Arial" w:eastAsia="Times New Roman" w:hAnsi="Arial" w:cs="Arial"/>
                <w:color w:val="000000"/>
                <w:sz w:val="20"/>
                <w:szCs w:val="20"/>
                <w:lang w:val="en-US"/>
              </w:rPr>
              <w:t>2</w:t>
            </w:r>
            <w:r w:rsidR="00961DF8" w:rsidRPr="00575F69">
              <w:rPr>
                <w:rFonts w:ascii="Arial" w:eastAsia="Times New Roman" w:hAnsi="Arial" w:cs="Arial"/>
                <w:color w:val="000000"/>
                <w:sz w:val="20"/>
                <w:szCs w:val="20"/>
              </w:rPr>
              <w:t>0.000.000</w:t>
            </w:r>
          </w:p>
        </w:tc>
        <w:tc>
          <w:tcPr>
            <w:tcW w:w="2092" w:type="dxa"/>
            <w:tcBorders>
              <w:top w:val="nil"/>
            </w:tcBorders>
            <w:vAlign w:val="center"/>
          </w:tcPr>
          <w:p w:rsidR="00961DF8" w:rsidRPr="00042F5B" w:rsidRDefault="00042F5B" w:rsidP="00042F5B">
            <w:pPr>
              <w:spacing w:after="0" w:line="240" w:lineRule="auto"/>
              <w:jc w:val="center"/>
              <w:rPr>
                <w:rFonts w:ascii="Arial" w:hAnsi="Arial" w:cs="Arial"/>
                <w:color w:val="000000"/>
                <w:sz w:val="20"/>
                <w:szCs w:val="20"/>
                <w:lang w:val="en-US"/>
              </w:rPr>
            </w:pPr>
            <w:r>
              <w:rPr>
                <w:rFonts w:ascii="Arial" w:hAnsi="Arial" w:cs="Arial"/>
                <w:color w:val="000000"/>
                <w:sz w:val="20"/>
                <w:szCs w:val="20"/>
                <w:lang w:val="en-US"/>
              </w:rPr>
              <w:t>6</w:t>
            </w:r>
            <w:r w:rsidR="00961DF8" w:rsidRPr="00575F69">
              <w:rPr>
                <w:rFonts w:ascii="Arial" w:hAnsi="Arial" w:cs="Arial"/>
                <w:color w:val="000000"/>
                <w:sz w:val="20"/>
                <w:szCs w:val="20"/>
              </w:rPr>
              <w:t>.</w:t>
            </w:r>
            <w:r>
              <w:rPr>
                <w:rFonts w:ascii="Arial" w:hAnsi="Arial" w:cs="Arial"/>
                <w:color w:val="000000"/>
                <w:sz w:val="20"/>
                <w:szCs w:val="20"/>
                <w:lang w:val="en-US"/>
              </w:rPr>
              <w:t>086</w:t>
            </w:r>
            <w:r w:rsidR="00961DF8" w:rsidRPr="00575F69">
              <w:rPr>
                <w:rFonts w:ascii="Arial" w:hAnsi="Arial" w:cs="Arial"/>
                <w:color w:val="000000"/>
                <w:sz w:val="20"/>
                <w:szCs w:val="20"/>
              </w:rPr>
              <w:t>.</w:t>
            </w:r>
            <w:r>
              <w:rPr>
                <w:rFonts w:ascii="Arial" w:hAnsi="Arial" w:cs="Arial"/>
                <w:color w:val="000000"/>
                <w:sz w:val="20"/>
                <w:szCs w:val="20"/>
                <w:lang w:val="en-US"/>
              </w:rPr>
              <w:t>400</w:t>
            </w:r>
          </w:p>
        </w:tc>
      </w:tr>
      <w:tr w:rsidR="00961DF8" w:rsidRPr="00575F69" w:rsidTr="00666160">
        <w:tc>
          <w:tcPr>
            <w:tcW w:w="3652" w:type="dxa"/>
          </w:tcPr>
          <w:p w:rsidR="00961DF8" w:rsidRPr="00575F69" w:rsidRDefault="00961DF8"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Pendapatan usahatani (Rp/bulan)</w:t>
            </w:r>
          </w:p>
        </w:tc>
        <w:tc>
          <w:tcPr>
            <w:tcW w:w="2410" w:type="dxa"/>
          </w:tcPr>
          <w:p w:rsidR="00961DF8" w:rsidRPr="00575F69" w:rsidRDefault="00961DF8" w:rsidP="006A68F2">
            <w:pPr>
              <w:spacing w:after="0" w:line="240" w:lineRule="auto"/>
              <w:jc w:val="center"/>
              <w:rPr>
                <w:rFonts w:ascii="Arial" w:eastAsia="Times New Roman" w:hAnsi="Arial" w:cs="Arial"/>
                <w:color w:val="000000"/>
                <w:sz w:val="20"/>
                <w:szCs w:val="20"/>
              </w:rPr>
            </w:pPr>
            <w:r w:rsidRPr="00575F69">
              <w:rPr>
                <w:rFonts w:ascii="Arial" w:eastAsia="Times New Roman" w:hAnsi="Arial" w:cs="Arial"/>
                <w:color w:val="000000"/>
                <w:sz w:val="20"/>
                <w:szCs w:val="20"/>
              </w:rPr>
              <w:t>250</w:t>
            </w:r>
            <w:r w:rsidR="00042F5B">
              <w:rPr>
                <w:rFonts w:ascii="Arial" w:eastAsia="Times New Roman" w:hAnsi="Arial" w:cs="Arial"/>
                <w:color w:val="000000"/>
                <w:sz w:val="20"/>
                <w:szCs w:val="20"/>
                <w:lang w:val="en-US"/>
              </w:rPr>
              <w:t>.000</w:t>
            </w:r>
            <w:r w:rsidRPr="00575F69">
              <w:rPr>
                <w:rFonts w:ascii="Arial" w:eastAsia="Times New Roman" w:hAnsi="Arial" w:cs="Arial"/>
                <w:color w:val="000000"/>
                <w:sz w:val="20"/>
                <w:szCs w:val="20"/>
              </w:rPr>
              <w:t xml:space="preserve"> – 5</w:t>
            </w:r>
            <w:r w:rsidR="00F43B97">
              <w:rPr>
                <w:rFonts w:ascii="Arial" w:eastAsia="Times New Roman" w:hAnsi="Arial" w:cs="Arial"/>
                <w:color w:val="000000"/>
                <w:sz w:val="20"/>
                <w:szCs w:val="20"/>
                <w:lang w:val="en-US"/>
              </w:rPr>
              <w:t>.0</w:t>
            </w:r>
            <w:r w:rsidRPr="00575F69">
              <w:rPr>
                <w:rFonts w:ascii="Arial" w:eastAsia="Times New Roman" w:hAnsi="Arial" w:cs="Arial"/>
                <w:color w:val="000000"/>
                <w:sz w:val="20"/>
                <w:szCs w:val="20"/>
              </w:rPr>
              <w:t>00.000</w:t>
            </w:r>
          </w:p>
        </w:tc>
        <w:tc>
          <w:tcPr>
            <w:tcW w:w="2092" w:type="dxa"/>
            <w:vAlign w:val="center"/>
          </w:tcPr>
          <w:p w:rsidR="00961DF8" w:rsidRPr="00575F69" w:rsidRDefault="00961DF8" w:rsidP="00042F5B">
            <w:pPr>
              <w:spacing w:after="0" w:line="240" w:lineRule="auto"/>
              <w:jc w:val="center"/>
              <w:rPr>
                <w:rFonts w:ascii="Arial" w:hAnsi="Arial" w:cs="Arial"/>
                <w:color w:val="000000"/>
                <w:sz w:val="20"/>
                <w:szCs w:val="20"/>
              </w:rPr>
            </w:pPr>
            <w:r w:rsidRPr="00575F69">
              <w:rPr>
                <w:rFonts w:ascii="Arial" w:hAnsi="Arial" w:cs="Arial"/>
                <w:color w:val="000000"/>
                <w:sz w:val="20"/>
                <w:szCs w:val="20"/>
              </w:rPr>
              <w:t>1.</w:t>
            </w:r>
            <w:r w:rsidR="00042F5B">
              <w:rPr>
                <w:rFonts w:ascii="Arial" w:hAnsi="Arial" w:cs="Arial"/>
                <w:color w:val="000000"/>
                <w:sz w:val="20"/>
                <w:szCs w:val="20"/>
                <w:lang w:val="en-US"/>
              </w:rPr>
              <w:t>521</w:t>
            </w:r>
            <w:r w:rsidRPr="00575F69">
              <w:rPr>
                <w:rFonts w:ascii="Arial" w:hAnsi="Arial" w:cs="Arial"/>
                <w:color w:val="000000"/>
                <w:sz w:val="20"/>
                <w:szCs w:val="20"/>
              </w:rPr>
              <w:t>.</w:t>
            </w:r>
            <w:r w:rsidR="00042F5B">
              <w:rPr>
                <w:rFonts w:ascii="Arial" w:hAnsi="Arial" w:cs="Arial"/>
                <w:color w:val="000000"/>
                <w:sz w:val="20"/>
                <w:szCs w:val="20"/>
                <w:lang w:val="en-US"/>
              </w:rPr>
              <w:t>60</w:t>
            </w:r>
            <w:r w:rsidRPr="00575F69">
              <w:rPr>
                <w:rFonts w:ascii="Arial" w:hAnsi="Arial" w:cs="Arial"/>
                <w:color w:val="000000"/>
                <w:sz w:val="20"/>
                <w:szCs w:val="20"/>
              </w:rPr>
              <w:t>0</w:t>
            </w:r>
          </w:p>
        </w:tc>
      </w:tr>
      <w:tr w:rsidR="00961DF8" w:rsidRPr="00575F69" w:rsidTr="00666160">
        <w:tc>
          <w:tcPr>
            <w:tcW w:w="3652" w:type="dxa"/>
          </w:tcPr>
          <w:p w:rsidR="00961DF8" w:rsidRPr="00575F69" w:rsidRDefault="00961DF8"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Pendapatan buruh tani</w:t>
            </w:r>
          </w:p>
        </w:tc>
        <w:tc>
          <w:tcPr>
            <w:tcW w:w="2410" w:type="dxa"/>
          </w:tcPr>
          <w:p w:rsidR="00961DF8" w:rsidRPr="00575F69" w:rsidRDefault="00961DF8" w:rsidP="006A68F2">
            <w:pPr>
              <w:spacing w:after="0" w:line="240" w:lineRule="auto"/>
              <w:jc w:val="center"/>
              <w:rPr>
                <w:rFonts w:ascii="Arial" w:eastAsia="Times New Roman" w:hAnsi="Arial" w:cs="Arial"/>
                <w:color w:val="000000"/>
                <w:sz w:val="20"/>
                <w:szCs w:val="20"/>
              </w:rPr>
            </w:pPr>
            <w:r w:rsidRPr="00575F69">
              <w:rPr>
                <w:rFonts w:ascii="Arial" w:eastAsia="Times New Roman" w:hAnsi="Arial" w:cs="Arial"/>
                <w:color w:val="000000"/>
                <w:sz w:val="20"/>
                <w:szCs w:val="20"/>
              </w:rPr>
              <w:t>0 – 2.000.000</w:t>
            </w:r>
          </w:p>
        </w:tc>
        <w:tc>
          <w:tcPr>
            <w:tcW w:w="2092" w:type="dxa"/>
            <w:vAlign w:val="center"/>
          </w:tcPr>
          <w:p w:rsidR="00961DF8" w:rsidRPr="00575F69" w:rsidRDefault="00662175" w:rsidP="00662175">
            <w:pPr>
              <w:spacing w:after="0" w:line="240" w:lineRule="auto"/>
              <w:jc w:val="center"/>
              <w:rPr>
                <w:rFonts w:ascii="Arial" w:hAnsi="Arial" w:cs="Arial"/>
                <w:color w:val="000000"/>
                <w:sz w:val="20"/>
                <w:szCs w:val="20"/>
              </w:rPr>
            </w:pPr>
            <w:r>
              <w:rPr>
                <w:rFonts w:ascii="Arial" w:hAnsi="Arial" w:cs="Arial"/>
                <w:color w:val="000000"/>
                <w:sz w:val="20"/>
                <w:szCs w:val="20"/>
                <w:lang w:val="en-US"/>
              </w:rPr>
              <w:t>335</w:t>
            </w:r>
            <w:r w:rsidR="00961DF8" w:rsidRPr="00575F69">
              <w:rPr>
                <w:rFonts w:ascii="Arial" w:hAnsi="Arial" w:cs="Arial"/>
                <w:color w:val="000000"/>
                <w:sz w:val="20"/>
                <w:szCs w:val="20"/>
              </w:rPr>
              <w:t>.</w:t>
            </w:r>
            <w:r>
              <w:rPr>
                <w:rFonts w:ascii="Arial" w:hAnsi="Arial" w:cs="Arial"/>
                <w:color w:val="000000"/>
                <w:sz w:val="20"/>
                <w:szCs w:val="20"/>
                <w:lang w:val="en-US"/>
              </w:rPr>
              <w:t>00</w:t>
            </w:r>
            <w:r w:rsidR="00961DF8" w:rsidRPr="00575F69">
              <w:rPr>
                <w:rFonts w:ascii="Arial" w:hAnsi="Arial" w:cs="Arial"/>
                <w:color w:val="000000"/>
                <w:sz w:val="20"/>
                <w:szCs w:val="20"/>
              </w:rPr>
              <w:t>0</w:t>
            </w:r>
          </w:p>
        </w:tc>
      </w:tr>
      <w:tr w:rsidR="00961DF8" w:rsidRPr="00575F69" w:rsidTr="00666160">
        <w:tc>
          <w:tcPr>
            <w:tcW w:w="3652" w:type="dxa"/>
          </w:tcPr>
          <w:p w:rsidR="00961DF8" w:rsidRPr="00575F69" w:rsidRDefault="00961DF8"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Pendapatan non pertanian</w:t>
            </w:r>
          </w:p>
        </w:tc>
        <w:tc>
          <w:tcPr>
            <w:tcW w:w="2410" w:type="dxa"/>
          </w:tcPr>
          <w:p w:rsidR="00961DF8" w:rsidRPr="00575F69" w:rsidRDefault="00961DF8" w:rsidP="006A68F2">
            <w:pPr>
              <w:spacing w:after="0" w:line="240" w:lineRule="auto"/>
              <w:jc w:val="center"/>
              <w:rPr>
                <w:rFonts w:ascii="Arial" w:eastAsia="Times New Roman" w:hAnsi="Arial" w:cs="Arial"/>
                <w:color w:val="000000"/>
                <w:sz w:val="20"/>
                <w:szCs w:val="20"/>
              </w:rPr>
            </w:pPr>
            <w:r w:rsidRPr="00575F69">
              <w:rPr>
                <w:rFonts w:ascii="Arial" w:eastAsia="Times New Roman" w:hAnsi="Arial" w:cs="Arial"/>
                <w:color w:val="000000"/>
                <w:sz w:val="20"/>
                <w:szCs w:val="20"/>
              </w:rPr>
              <w:t>0 – 3.000.000</w:t>
            </w:r>
          </w:p>
        </w:tc>
        <w:tc>
          <w:tcPr>
            <w:tcW w:w="2092" w:type="dxa"/>
            <w:vAlign w:val="center"/>
          </w:tcPr>
          <w:p w:rsidR="00961DF8" w:rsidRPr="00662175" w:rsidRDefault="00662175" w:rsidP="00662175">
            <w:pPr>
              <w:spacing w:after="0" w:line="240" w:lineRule="auto"/>
              <w:jc w:val="center"/>
              <w:rPr>
                <w:rFonts w:ascii="Arial" w:hAnsi="Arial" w:cs="Arial"/>
                <w:color w:val="000000"/>
                <w:sz w:val="20"/>
                <w:szCs w:val="20"/>
                <w:lang w:val="en-US"/>
              </w:rPr>
            </w:pPr>
            <w:r>
              <w:rPr>
                <w:rFonts w:ascii="Arial" w:hAnsi="Arial" w:cs="Arial"/>
                <w:color w:val="000000"/>
                <w:sz w:val="20"/>
                <w:szCs w:val="20"/>
                <w:lang w:val="en-US"/>
              </w:rPr>
              <w:t>30</w:t>
            </w:r>
            <w:r w:rsidR="00961DF8" w:rsidRPr="00575F69">
              <w:rPr>
                <w:rFonts w:ascii="Arial" w:hAnsi="Arial" w:cs="Arial"/>
                <w:color w:val="000000"/>
                <w:sz w:val="20"/>
                <w:szCs w:val="20"/>
              </w:rPr>
              <w:t>8.</w:t>
            </w:r>
            <w:r>
              <w:rPr>
                <w:rFonts w:ascii="Arial" w:hAnsi="Arial" w:cs="Arial"/>
                <w:color w:val="000000"/>
                <w:sz w:val="20"/>
                <w:szCs w:val="20"/>
                <w:lang w:val="en-US"/>
              </w:rPr>
              <w:t>400</w:t>
            </w:r>
          </w:p>
        </w:tc>
      </w:tr>
      <w:tr w:rsidR="00961DF8" w:rsidRPr="00575F69" w:rsidTr="00666160">
        <w:tc>
          <w:tcPr>
            <w:tcW w:w="3652" w:type="dxa"/>
          </w:tcPr>
          <w:p w:rsidR="00961DF8" w:rsidRPr="00575F69" w:rsidRDefault="00961DF8" w:rsidP="006A68F2">
            <w:pPr>
              <w:spacing w:after="0" w:line="240" w:lineRule="auto"/>
              <w:rPr>
                <w:rFonts w:ascii="Arial" w:eastAsia="Times New Roman" w:hAnsi="Arial" w:cs="Arial"/>
                <w:sz w:val="20"/>
                <w:szCs w:val="20"/>
              </w:rPr>
            </w:pPr>
            <w:r w:rsidRPr="00575F69">
              <w:rPr>
                <w:rFonts w:ascii="Arial" w:eastAsia="Times New Roman" w:hAnsi="Arial" w:cs="Arial"/>
                <w:sz w:val="20"/>
                <w:szCs w:val="20"/>
              </w:rPr>
              <w:t>Pendapatan total (Rp/bulan)</w:t>
            </w:r>
          </w:p>
        </w:tc>
        <w:tc>
          <w:tcPr>
            <w:tcW w:w="2410" w:type="dxa"/>
          </w:tcPr>
          <w:p w:rsidR="00961DF8" w:rsidRPr="00575F69" w:rsidRDefault="00662175" w:rsidP="0066217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w:t>
            </w:r>
            <w:r>
              <w:rPr>
                <w:rFonts w:ascii="Arial" w:eastAsia="Times New Roman" w:hAnsi="Arial" w:cs="Arial"/>
                <w:color w:val="000000"/>
                <w:sz w:val="20"/>
                <w:szCs w:val="20"/>
                <w:lang w:val="en-US"/>
              </w:rPr>
              <w:t>50</w:t>
            </w:r>
            <w:r w:rsidR="00961DF8" w:rsidRPr="00575F69">
              <w:rPr>
                <w:rFonts w:ascii="Arial" w:eastAsia="Times New Roman" w:hAnsi="Arial" w:cs="Arial"/>
                <w:color w:val="000000"/>
                <w:sz w:val="20"/>
                <w:szCs w:val="20"/>
              </w:rPr>
              <w:t>.</w:t>
            </w:r>
            <w:r>
              <w:rPr>
                <w:rFonts w:ascii="Arial" w:eastAsia="Times New Roman" w:hAnsi="Arial" w:cs="Arial"/>
                <w:color w:val="000000"/>
                <w:sz w:val="20"/>
                <w:szCs w:val="20"/>
                <w:lang w:val="en-US"/>
              </w:rPr>
              <w:t>0</w:t>
            </w:r>
            <w:r w:rsidR="00961DF8" w:rsidRPr="00575F69">
              <w:rPr>
                <w:rFonts w:ascii="Arial" w:eastAsia="Times New Roman" w:hAnsi="Arial" w:cs="Arial"/>
                <w:color w:val="000000"/>
                <w:sz w:val="20"/>
                <w:szCs w:val="20"/>
              </w:rPr>
              <w:t xml:space="preserve">00 – </w:t>
            </w:r>
            <w:r>
              <w:rPr>
                <w:rFonts w:ascii="Arial" w:eastAsia="Times New Roman" w:hAnsi="Arial" w:cs="Arial"/>
                <w:color w:val="000000"/>
                <w:sz w:val="20"/>
                <w:szCs w:val="20"/>
                <w:lang w:val="en-US"/>
              </w:rPr>
              <w:t>5</w:t>
            </w:r>
            <w:r w:rsidR="00F43B97">
              <w:rPr>
                <w:rFonts w:ascii="Arial" w:eastAsia="Times New Roman" w:hAnsi="Arial" w:cs="Arial"/>
                <w:color w:val="000000"/>
                <w:sz w:val="20"/>
                <w:szCs w:val="20"/>
                <w:lang w:val="en-US"/>
              </w:rPr>
              <w:t>.0</w:t>
            </w:r>
            <w:r w:rsidR="00961DF8" w:rsidRPr="00575F69">
              <w:rPr>
                <w:rFonts w:ascii="Arial" w:eastAsia="Times New Roman" w:hAnsi="Arial" w:cs="Arial"/>
                <w:color w:val="000000"/>
                <w:sz w:val="20"/>
                <w:szCs w:val="20"/>
              </w:rPr>
              <w:t>00.000</w:t>
            </w:r>
          </w:p>
        </w:tc>
        <w:tc>
          <w:tcPr>
            <w:tcW w:w="2092" w:type="dxa"/>
            <w:vAlign w:val="center"/>
          </w:tcPr>
          <w:p w:rsidR="00961DF8" w:rsidRPr="00662175" w:rsidRDefault="00662175" w:rsidP="00662175">
            <w:pPr>
              <w:spacing w:after="0" w:line="240" w:lineRule="auto"/>
              <w:jc w:val="center"/>
              <w:rPr>
                <w:rFonts w:ascii="Arial" w:hAnsi="Arial" w:cs="Arial"/>
                <w:color w:val="000000"/>
                <w:sz w:val="20"/>
                <w:szCs w:val="20"/>
                <w:lang w:val="en-US"/>
              </w:rPr>
            </w:pPr>
            <w:r>
              <w:rPr>
                <w:rFonts w:ascii="Arial" w:hAnsi="Arial" w:cs="Arial"/>
                <w:color w:val="000000"/>
                <w:sz w:val="20"/>
                <w:szCs w:val="20"/>
                <w:lang w:val="en-US"/>
              </w:rPr>
              <w:t>2</w:t>
            </w:r>
            <w:r w:rsidR="00961DF8" w:rsidRPr="00575F69">
              <w:rPr>
                <w:rFonts w:ascii="Arial" w:hAnsi="Arial" w:cs="Arial"/>
                <w:color w:val="000000"/>
                <w:sz w:val="20"/>
                <w:szCs w:val="20"/>
              </w:rPr>
              <w:t>.</w:t>
            </w:r>
            <w:r>
              <w:rPr>
                <w:rFonts w:ascii="Arial" w:hAnsi="Arial" w:cs="Arial"/>
                <w:color w:val="000000"/>
                <w:sz w:val="20"/>
                <w:szCs w:val="20"/>
                <w:lang w:val="en-US"/>
              </w:rPr>
              <w:t>165</w:t>
            </w:r>
            <w:r w:rsidR="00961DF8" w:rsidRPr="00575F69">
              <w:rPr>
                <w:rFonts w:ascii="Arial" w:hAnsi="Arial" w:cs="Arial"/>
                <w:color w:val="000000"/>
                <w:sz w:val="20"/>
                <w:szCs w:val="20"/>
              </w:rPr>
              <w:t>.</w:t>
            </w:r>
            <w:r>
              <w:rPr>
                <w:rFonts w:ascii="Arial" w:hAnsi="Arial" w:cs="Arial"/>
                <w:color w:val="000000"/>
                <w:sz w:val="20"/>
                <w:szCs w:val="20"/>
                <w:lang w:val="en-US"/>
              </w:rPr>
              <w:t>000</w:t>
            </w:r>
          </w:p>
        </w:tc>
      </w:tr>
    </w:tbl>
    <w:p w:rsidR="00377C91" w:rsidRDefault="00377C91" w:rsidP="00377C91">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FF0660" w:rsidRDefault="00FF0660" w:rsidP="002E6346">
      <w:pPr>
        <w:spacing w:after="0" w:line="240" w:lineRule="auto"/>
        <w:ind w:firstLine="709"/>
        <w:rPr>
          <w:rFonts w:ascii="Arial" w:eastAsia="Times New Roman" w:hAnsi="Arial" w:cs="Arial"/>
          <w:color w:val="FF0000"/>
          <w:lang w:val="en-US"/>
        </w:rPr>
      </w:pPr>
    </w:p>
    <w:p w:rsidR="006734CE" w:rsidRPr="00DE5AB2" w:rsidRDefault="006734CE" w:rsidP="00DE5AB2">
      <w:pPr>
        <w:spacing w:after="0" w:line="240" w:lineRule="auto"/>
        <w:ind w:firstLine="709"/>
        <w:jc w:val="both"/>
        <w:rPr>
          <w:rFonts w:ascii="Arial" w:eastAsia="Times New Roman" w:hAnsi="Arial" w:cs="Arial"/>
          <w:lang w:val="en-US"/>
        </w:rPr>
      </w:pPr>
      <w:r w:rsidRPr="00DE5AB2">
        <w:rPr>
          <w:rFonts w:ascii="Arial" w:eastAsia="Times New Roman" w:hAnsi="Arial" w:cs="Arial"/>
          <w:lang w:val="en-US"/>
        </w:rPr>
        <w:t>Rata</w:t>
      </w:r>
      <w:r w:rsidR="007C7708" w:rsidRPr="00DE5AB2">
        <w:rPr>
          <w:rFonts w:ascii="Arial" w:eastAsia="Times New Roman" w:hAnsi="Arial" w:cs="Arial"/>
          <w:lang w:val="en-US"/>
        </w:rPr>
        <w:t xml:space="preserve">-rata </w:t>
      </w:r>
      <w:r w:rsidR="00FF0660" w:rsidRPr="00DE5AB2">
        <w:rPr>
          <w:rFonts w:ascii="Arial" w:eastAsia="Times New Roman" w:hAnsi="Arial" w:cs="Arial"/>
          <w:lang w:val="en-US"/>
        </w:rPr>
        <w:t xml:space="preserve">pendapatan sebagai buruh tani cukup rendah </w:t>
      </w:r>
      <w:r w:rsidR="007C7708" w:rsidRPr="00DE5AB2">
        <w:rPr>
          <w:rFonts w:ascii="Arial" w:eastAsia="Times New Roman" w:hAnsi="Arial" w:cs="Arial"/>
          <w:lang w:val="en-US"/>
        </w:rPr>
        <w:t>karena hanya 30</w:t>
      </w:r>
      <w:r w:rsidR="000C711B">
        <w:rPr>
          <w:rFonts w:ascii="Arial" w:eastAsia="Times New Roman" w:hAnsi="Arial" w:cs="Arial"/>
          <w:lang w:val="en-US"/>
        </w:rPr>
        <w:t>%</w:t>
      </w:r>
      <w:r w:rsidRPr="00DE5AB2">
        <w:rPr>
          <w:rFonts w:ascii="Arial" w:eastAsia="Times New Roman" w:hAnsi="Arial" w:cs="Arial"/>
          <w:lang w:val="en-US"/>
        </w:rPr>
        <w:t xml:space="preserve"> </w:t>
      </w:r>
      <w:r w:rsidR="00FF0660" w:rsidRPr="00DE5AB2">
        <w:rPr>
          <w:rFonts w:ascii="Arial" w:eastAsia="Times New Roman" w:hAnsi="Arial" w:cs="Arial"/>
          <w:lang w:val="en-US"/>
        </w:rPr>
        <w:t xml:space="preserve">responden </w:t>
      </w:r>
      <w:r w:rsidRPr="00DE5AB2">
        <w:rPr>
          <w:rFonts w:ascii="Arial" w:eastAsia="Times New Roman" w:hAnsi="Arial" w:cs="Arial"/>
          <w:lang w:val="en-US"/>
        </w:rPr>
        <w:t>yang menjadi buruh tani</w:t>
      </w:r>
      <w:r w:rsidR="00FF0660" w:rsidRPr="00DE5AB2">
        <w:rPr>
          <w:rFonts w:ascii="Arial" w:eastAsia="Times New Roman" w:hAnsi="Arial" w:cs="Arial"/>
          <w:lang w:val="en-US"/>
        </w:rPr>
        <w:t xml:space="preserve"> di lahan tetangga.</w:t>
      </w:r>
      <w:r w:rsidR="00DE5AB2" w:rsidRPr="00DE5AB2">
        <w:rPr>
          <w:rFonts w:ascii="Arial" w:eastAsia="Times New Roman" w:hAnsi="Arial" w:cs="Arial"/>
          <w:lang w:val="en-US"/>
        </w:rPr>
        <w:t xml:space="preserve"> </w:t>
      </w:r>
      <w:r w:rsidR="00FF0660" w:rsidRPr="00DE5AB2">
        <w:rPr>
          <w:rFonts w:ascii="Arial" w:eastAsia="Times New Roman" w:hAnsi="Arial" w:cs="Arial"/>
          <w:lang w:val="en-US"/>
        </w:rPr>
        <w:t>Demikian juga pendapatan dari sumber</w:t>
      </w:r>
      <w:r w:rsidR="00DE5AB2" w:rsidRPr="00DE5AB2">
        <w:rPr>
          <w:rFonts w:ascii="Arial" w:eastAsia="Times New Roman" w:hAnsi="Arial" w:cs="Arial"/>
          <w:lang w:val="en-US"/>
        </w:rPr>
        <w:t xml:space="preserve"> pekerjaan non-pertanian rendah,</w:t>
      </w:r>
      <w:r w:rsidR="00FF0660" w:rsidRPr="00DE5AB2">
        <w:rPr>
          <w:rFonts w:ascii="Arial" w:eastAsia="Times New Roman" w:hAnsi="Arial" w:cs="Arial"/>
          <w:lang w:val="en-US"/>
        </w:rPr>
        <w:t xml:space="preserve"> </w:t>
      </w:r>
      <w:r w:rsidR="00DE5AB2" w:rsidRPr="00DE5AB2">
        <w:rPr>
          <w:rFonts w:ascii="Arial" w:eastAsia="Times New Roman" w:hAnsi="Arial" w:cs="Arial"/>
          <w:lang w:val="en-US"/>
        </w:rPr>
        <w:t>karena t</w:t>
      </w:r>
      <w:r w:rsidRPr="00DE5AB2">
        <w:rPr>
          <w:rFonts w:ascii="Arial" w:eastAsia="Times New Roman" w:hAnsi="Arial" w:cs="Arial"/>
          <w:lang w:val="en-US"/>
        </w:rPr>
        <w:t xml:space="preserve">idak semua petani </w:t>
      </w:r>
      <w:r w:rsidR="00FF0660" w:rsidRPr="00DE5AB2">
        <w:rPr>
          <w:rFonts w:ascii="Arial" w:eastAsia="Times New Roman" w:hAnsi="Arial" w:cs="Arial"/>
          <w:lang w:val="en-US"/>
        </w:rPr>
        <w:t xml:space="preserve">mempunyai kesempatan dan </w:t>
      </w:r>
      <w:r w:rsidRPr="00DE5AB2">
        <w:rPr>
          <w:rFonts w:ascii="Arial" w:eastAsia="Times New Roman" w:hAnsi="Arial" w:cs="Arial"/>
          <w:lang w:val="en-US"/>
        </w:rPr>
        <w:t xml:space="preserve">bekerja </w:t>
      </w:r>
      <w:r w:rsidR="00FF0660" w:rsidRPr="00DE5AB2">
        <w:rPr>
          <w:rFonts w:ascii="Arial" w:eastAsia="Times New Roman" w:hAnsi="Arial" w:cs="Arial"/>
          <w:lang w:val="en-US"/>
        </w:rPr>
        <w:t>pada pekerjaan non-</w:t>
      </w:r>
      <w:r w:rsidRPr="00DE5AB2">
        <w:rPr>
          <w:rFonts w:ascii="Arial" w:eastAsia="Times New Roman" w:hAnsi="Arial" w:cs="Arial"/>
          <w:lang w:val="en-US"/>
        </w:rPr>
        <w:t>pertanian</w:t>
      </w:r>
      <w:r w:rsidR="007C7708" w:rsidRPr="00DE5AB2">
        <w:rPr>
          <w:rFonts w:ascii="Arial" w:eastAsia="Times New Roman" w:hAnsi="Arial" w:cs="Arial"/>
          <w:lang w:val="en-US"/>
        </w:rPr>
        <w:t xml:space="preserve"> (hanya 17</w:t>
      </w:r>
      <w:r w:rsidR="000C711B">
        <w:rPr>
          <w:rFonts w:ascii="Arial" w:eastAsia="Times New Roman" w:hAnsi="Arial" w:cs="Arial"/>
          <w:lang w:val="en-US"/>
        </w:rPr>
        <w:t>%</w:t>
      </w:r>
      <w:r w:rsidR="007C7708" w:rsidRPr="00DE5AB2">
        <w:rPr>
          <w:rFonts w:ascii="Arial" w:eastAsia="Times New Roman" w:hAnsi="Arial" w:cs="Arial"/>
          <w:lang w:val="en-US"/>
        </w:rPr>
        <w:t>)</w:t>
      </w:r>
      <w:r w:rsidR="00FF0660" w:rsidRPr="00DE5AB2">
        <w:rPr>
          <w:rFonts w:ascii="Arial" w:eastAsia="Times New Roman" w:hAnsi="Arial" w:cs="Arial"/>
          <w:lang w:val="en-US"/>
        </w:rPr>
        <w:t>.</w:t>
      </w:r>
      <w:r w:rsidR="00DE5AB2">
        <w:rPr>
          <w:rFonts w:ascii="Arial" w:eastAsia="Times New Roman" w:hAnsi="Arial" w:cs="Arial"/>
          <w:lang w:val="en-US"/>
        </w:rPr>
        <w:t xml:space="preserve"> </w:t>
      </w:r>
      <w:r w:rsidR="000C711B">
        <w:rPr>
          <w:rFonts w:ascii="Arial" w:eastAsia="Times New Roman" w:hAnsi="Arial" w:cs="Arial"/>
          <w:lang w:val="en-US"/>
        </w:rPr>
        <w:t>Keadaan ini sama dengan penelitian terdahulu bahwa k</w:t>
      </w:r>
      <w:r w:rsidR="008C701F">
        <w:rPr>
          <w:rFonts w:ascii="Arial" w:eastAsia="Times New Roman" w:hAnsi="Arial" w:cs="Arial"/>
          <w:lang w:val="en-US"/>
        </w:rPr>
        <w:t xml:space="preserve">eterbatasan lapangan kerja, peralatan usaha dan ketrampilan menjadi hambatan petani untuk menambah pendapatan dari luar usahatani </w:t>
      </w:r>
      <w:r w:rsidR="00B94BBB">
        <w:rPr>
          <w:rFonts w:ascii="Arial" w:hAnsi="Arial" w:cs="Arial"/>
          <w:lang w:val="sv-SE"/>
        </w:rPr>
        <w:fldChar w:fldCharType="begin" w:fldLock="1"/>
      </w:r>
      <w:r w:rsidR="0073660B">
        <w:rPr>
          <w:rFonts w:ascii="Arial" w:hAnsi="Arial" w:cs="Arial"/>
          <w:lang w:val="sv-SE"/>
        </w:rPr>
        <w:instrText>ADDIN CSL_CITATION { "citationItems" : [ { "id" : "ITEM-1", "itemData" : { "DOI" : "10.21107/agriekonomika.v9i1.7286", "ISSN" : "2301-9948", "abstract" : "Fenomena petani meninggalkan lahan dan beralih profesi menjadi pekerja di industri rumahan kian marak seiring bermunculannya industri rumahan yang tumbuh di pedesaan. Penelitian ini bermaksud untuk mengetahui penyebab petani memutuskan untuk menjadi pekerja industri rumahan di Kabupaten Tasikmalaya. Penelitian menggunakan rumus Slovin dalam penentuan jumlah sampel dan analisis regresi linier berganda untuk mengukur variabel pekerja industri rumahan dan variabel yang diduga kuat menjadi penyebabnya yaitu usia, pendidikan, kepemilikan lahan, pendapatan, kosmopolitan, tanggungan keluarga, lingkungan ekonomi dan kebijakan pemerintah. Hasil penelitian menunjukkan penyebab menjadi pekerja industri rumahan adalah kombinasi antara ketiadaan lahan yang dimiliki, usia produktif dengan jumlah tanggungan keluarga 2\u20133 orang menyebabkan terlibat utang. Kecuali kosmopolitan yang tidak menjadi masalah. Disarankan kebijakan pemerintah untuk menjadikan industri rumahan berbasis hasil pertanian untuk menjaga keberlangsungan pertanian dan keragaman pangan Indonesia. Semua sektor berada dalam keseimbangan.", "author" : [ { "dropping-particle" : "", "family" : "Sundari", "given" : "Ristina Siti", "non-dropping-particle" : "", "parse-names" : false, "suffix" : "" }, { "dropping-particle" : "", "family" : "Kurniasih", "given" : "Euis", "non-dropping-particle" : "", "parse-names" : false, "suffix" : "" }, { "dropping-particle" : "", "family" : "Heryadi", "given" : "D Yadi", "non-dropping-particle" : "", "parse-names" : false, "suffix" : "" }, { "dropping-particle" : "", "family" : "Arshad", "given" : "Adnan", "non-dropping-particle" : "", "parse-names" : false, "suffix" : "" } ], "container-title" : "Agriekonomika", "id" : "ITEM-1", "issue" : "1", "issued" : { "date-parts" : [ [ "2020" ] ] }, "page" : "61-71", "title" : "Mengapa Petani menjadi Pekerja Industri Rumahan di Pedesaan?", "type" : "article-journal", "volume" : "9" }, "uris" : [ "http://www.mendeley.com/documents/?uuid=2fd86586-df1c-40ba-80a1-aaa61ca7352b" ] }, { "id" : "ITEM-2", "itemData" : { "DOI" : "10.1016/j.wdp.2020.100261", "ISSN" : "24522929", "abstract" : "The conventional wisdom of Arthur Lewis's dual sector model says that households in the agricultural (traditional) sector who can move out to a non-agricultural (modern) sector will become better off. We then scrutinize the last three waves of the Indonesia Family Life Survey (IFLS) to analyze the existence of the dual theorem. Our study uses Difference in Difference (DiD) regressions and ordered logit regressions to confirm that moving out of agriculture sectors has significantly increased the welfare of poor agricultural households, especially in the period of 2000\u20132007, but this is not the case of 2007\u20132014. Movement out of agricultural sectors decreases the probability of being always poor by 13.5 percentage points. However, when the economy transforms into a more advanced economy, simply moving out of agriculture does not guarantee that farmers, especially landless farmers, will become better off. Welfare improvement requires a shifting to formal non-agricultural sectors, but unfortunately farmers might not be readily equipped with the skills required in formal sectors. Our study also obviously confirms that farmland is an important asset for agricultural households. Agricultural households experiencing a decrease of agricultural land also decreased their expenditure per capita by IDR 36,833 in 2000 and IDR 68,683 in 2007. These findings suggest that, currently, moving out of agriculture is not the solution to improve the well-being of farmers. Keeping farmland ownership, raising investment in human capital, and the modernization of agriculture should be the main concerns in agricultural development.", "author" : [ { "dropping-particle" : "", "family" : "Moeis", "given" : "Faizal Rahmanto", "non-dropping-particle" : "", "parse-names" : false, "suffix" : "" }, { "dropping-particle" : "", "family" : "Dartanto", "given" : "Teguh", "non-dropping-particle" : "", "parse-names" : false, "suffix" : "" }, { "dropping-particle" : "", "family" : "Moeis", "given" : "Jossy Prananta", "non-dropping-particle" : "", "parse-names" : false, "suffix" : "" }, { "dropping-particle" : "", "family" : "Ikhsan", "given" : "Mohamad", "non-dropping-particle" : "", "parse-names" : false, "suffix" : "" } ], "container-title" : "World Development Perspectives", "id" : "ITEM-2", "issue" : "August", "issued" : { "date-parts" : [ [ "2020" ] ] }, "page" : "100261", "publisher" : "Elsevier Ltd", "title" : "A longitudinal study of agriculture households in Indonesia: The effect of land and labor mobility on welfare and poverty dynamics", "type" : "article-journal", "volume" : "20" }, "uris" : [ "http://www.mendeley.com/documents/?uuid=b76a77f4-70d5-4c02-921c-3cc5d119d683" ] } ], "mendeley" : { "formattedCitation" : "(Moeis et al., 2020; Sundari et al., 2020)", "plainTextFormattedCitation" : "(Moeis et al., 2020; Sundari et al., 2020)", "previouslyFormattedCitation" : "(Moeis et al., 2020; Sundari et al., 2020)" }, "properties" : {  }, "schema" : "https://github.com/citation-style-language/schema/raw/master/csl-citation.json" }</w:instrText>
      </w:r>
      <w:r w:rsidR="00B94BBB">
        <w:rPr>
          <w:rFonts w:ascii="Arial" w:hAnsi="Arial" w:cs="Arial"/>
          <w:lang w:val="sv-SE"/>
        </w:rPr>
        <w:fldChar w:fldCharType="separate"/>
      </w:r>
      <w:r w:rsidR="008C701F" w:rsidRPr="008C701F">
        <w:rPr>
          <w:rFonts w:ascii="Arial" w:hAnsi="Arial" w:cs="Arial"/>
          <w:noProof/>
          <w:lang w:val="sv-SE"/>
        </w:rPr>
        <w:t>(Moeis et al., 2020; Sundari et al., 2020)</w:t>
      </w:r>
      <w:r w:rsidR="00B94BBB">
        <w:rPr>
          <w:rFonts w:ascii="Arial" w:hAnsi="Arial" w:cs="Arial"/>
          <w:lang w:val="sv-SE"/>
        </w:rPr>
        <w:fldChar w:fldCharType="end"/>
      </w:r>
      <w:r w:rsidR="008C701F">
        <w:rPr>
          <w:rFonts w:ascii="Arial" w:hAnsi="Arial" w:cs="Arial"/>
          <w:lang w:val="sv-SE"/>
        </w:rPr>
        <w:t>.</w:t>
      </w:r>
    </w:p>
    <w:p w:rsidR="006734CE" w:rsidRDefault="006734CE" w:rsidP="006734CE">
      <w:pPr>
        <w:spacing w:after="0" w:line="240" w:lineRule="auto"/>
        <w:rPr>
          <w:rFonts w:ascii="Arial" w:hAnsi="Arial" w:cs="Arial"/>
          <w:color w:val="FF0000"/>
          <w:lang w:val="en-US"/>
        </w:rPr>
      </w:pPr>
    </w:p>
    <w:p w:rsidR="00FF0660" w:rsidRPr="00CD49A5" w:rsidRDefault="005E3958" w:rsidP="006734CE">
      <w:pPr>
        <w:spacing w:after="0" w:line="240" w:lineRule="auto"/>
        <w:rPr>
          <w:rFonts w:ascii="Arial" w:hAnsi="Arial" w:cs="Arial"/>
          <w:b/>
          <w:lang w:val="sv-SE"/>
        </w:rPr>
      </w:pPr>
      <w:r>
        <w:rPr>
          <w:rFonts w:ascii="Arial" w:hAnsi="Arial" w:cs="Arial"/>
          <w:b/>
          <w:lang w:val="sv-SE"/>
        </w:rPr>
        <w:t xml:space="preserve">Konsumsi dan </w:t>
      </w:r>
      <w:r w:rsidR="00FF0660" w:rsidRPr="00CD49A5">
        <w:rPr>
          <w:rFonts w:ascii="Arial" w:hAnsi="Arial" w:cs="Arial"/>
          <w:b/>
          <w:lang w:val="sv-SE"/>
        </w:rPr>
        <w:t>Alokasi Belanja Konsumsi Pangan</w:t>
      </w:r>
    </w:p>
    <w:p w:rsidR="00457662" w:rsidRDefault="00B11273" w:rsidP="00457662">
      <w:pPr>
        <w:spacing w:after="0" w:line="240" w:lineRule="auto"/>
        <w:ind w:firstLine="709"/>
        <w:jc w:val="both"/>
        <w:rPr>
          <w:rFonts w:ascii="Arial" w:hAnsi="Arial" w:cs="Arial"/>
          <w:lang w:val="en-US"/>
        </w:rPr>
      </w:pPr>
      <w:r w:rsidRPr="00457662">
        <w:rPr>
          <w:rFonts w:ascii="Arial" w:hAnsi="Arial" w:cs="Arial"/>
          <w:lang w:val="sv-SE"/>
        </w:rPr>
        <w:t xml:space="preserve">Tabel 5 menyajikan konsumsi pangan rumahtangga petani berdasarkan </w:t>
      </w:r>
      <w:r w:rsidRPr="00457662">
        <w:rPr>
          <w:rFonts w:ascii="Arial" w:hAnsi="Arial" w:cs="Arial"/>
          <w:i/>
          <w:lang w:val="sv-SE"/>
        </w:rPr>
        <w:t xml:space="preserve">recall </w:t>
      </w:r>
      <w:r w:rsidRPr="00457662">
        <w:rPr>
          <w:rFonts w:ascii="Arial" w:hAnsi="Arial" w:cs="Arial"/>
          <w:lang w:val="sv-SE"/>
        </w:rPr>
        <w:t xml:space="preserve">konsumsi pangan selama satu minggu. </w:t>
      </w:r>
      <w:r w:rsidR="000C711B">
        <w:rPr>
          <w:rFonts w:ascii="Arial" w:hAnsi="Arial" w:cs="Arial"/>
          <w:lang w:val="en-US"/>
        </w:rPr>
        <w:t>D</w:t>
      </w:r>
      <w:r w:rsidR="00457662" w:rsidRPr="00457662">
        <w:rPr>
          <w:rFonts w:ascii="Arial" w:hAnsi="Arial" w:cs="Arial"/>
          <w:lang w:val="en-US"/>
        </w:rPr>
        <w:t xml:space="preserve">ata konsumsi pangan </w:t>
      </w:r>
      <w:r w:rsidR="000C711B">
        <w:rPr>
          <w:rFonts w:ascii="Arial" w:hAnsi="Arial" w:cs="Arial"/>
          <w:lang w:val="en-US"/>
        </w:rPr>
        <w:t>selama satu minggu</w:t>
      </w:r>
      <w:r w:rsidR="00457662" w:rsidRPr="00457662">
        <w:rPr>
          <w:rFonts w:ascii="Arial" w:hAnsi="Arial" w:cs="Arial"/>
          <w:lang w:val="en-US"/>
        </w:rPr>
        <w:t xml:space="preserve"> selanjutnya dihitung rata-rata perkapita per hari. Penilaian pemenuhan konsumsi menggunakan data konsumsi perkapita dengan PPH perhari. </w:t>
      </w:r>
      <w:r w:rsidR="00640767">
        <w:rPr>
          <w:rFonts w:ascii="Arial" w:hAnsi="Arial" w:cs="Arial"/>
          <w:lang w:val="en-US"/>
        </w:rPr>
        <w:t>Pedoman PPH diberikan pada 8 jenis bahan makanan yakni beras</w:t>
      </w:r>
      <w:r w:rsidR="0075226B">
        <w:rPr>
          <w:rFonts w:ascii="Arial" w:hAnsi="Arial" w:cs="Arial"/>
          <w:lang w:val="en-US"/>
        </w:rPr>
        <w:t>/padi-padian</w:t>
      </w:r>
      <w:r w:rsidR="00640767">
        <w:rPr>
          <w:rFonts w:ascii="Arial" w:hAnsi="Arial" w:cs="Arial"/>
          <w:lang w:val="en-US"/>
        </w:rPr>
        <w:t xml:space="preserve">, umbi, </w:t>
      </w:r>
      <w:r w:rsidR="0075226B">
        <w:rPr>
          <w:rFonts w:ascii="Arial" w:hAnsi="Arial" w:cs="Arial"/>
          <w:lang w:val="en-US"/>
        </w:rPr>
        <w:t xml:space="preserve">pangan hewani, minyak/lemak, sayuran, buah/biji berminyak, </w:t>
      </w:r>
      <w:r w:rsidR="0075226B">
        <w:rPr>
          <w:rFonts w:ascii="Arial" w:hAnsi="Arial" w:cs="Arial"/>
          <w:lang w:val="en-US"/>
        </w:rPr>
        <w:lastRenderedPageBreak/>
        <w:t xml:space="preserve">kacang-kacangan, sayur dan buah </w:t>
      </w:r>
      <w:r w:rsidR="00B94BBB">
        <w:rPr>
          <w:rFonts w:ascii="Arial" w:hAnsi="Arial" w:cs="Arial"/>
          <w:lang w:val="en-US"/>
        </w:rPr>
        <w:fldChar w:fldCharType="begin" w:fldLock="1"/>
      </w:r>
      <w:r w:rsidR="0075226B">
        <w:rPr>
          <w:rFonts w:ascii="Arial" w:hAnsi="Arial" w:cs="Arial"/>
          <w:lang w:val="en-US"/>
        </w:rPr>
        <w:instrText>ADDIN CSL_CITATION { "citationItems" : [ { "id" : "ITEM-1", "itemData" : { "author" : [ { "dropping-particle" : "", "family" : "Badan-Ketahanan-Pangan", "given" : "", "non-dropping-particle" : "", "parse-names" : false, "suffix" : "" } ], "id" : "ITEM-1", "issued" : { "date-parts" : [ [ "2015" ] ] }, "publisher" : "Badan Ketahanan Pangan Kementerian Pertanian", "publisher-place" : "Jakarta", "title" : "Panduan Penghitungan Pola Pangan Harapan (PPH)", "type" : "book" }, "uris" : [ "http://www.mendeley.com/documents/?uuid=2ad2f9c2-51eb-4e75-a8fe-fd2463ddff2b" ] } ], "mendeley" : { "formattedCitation" : "(Badan-Ketahanan-Pangan, 2015)", "plainTextFormattedCitation" : "(Badan-Ketahanan-Pangan, 2015)", "previouslyFormattedCitation" : "(Badan-Ketahanan-Pangan, 2015)" }, "properties" : {  }, "schema" : "https://github.com/citation-style-language/schema/raw/master/csl-citation.json" }</w:instrText>
      </w:r>
      <w:r w:rsidR="00B94BBB">
        <w:rPr>
          <w:rFonts w:ascii="Arial" w:hAnsi="Arial" w:cs="Arial"/>
          <w:lang w:val="en-US"/>
        </w:rPr>
        <w:fldChar w:fldCharType="separate"/>
      </w:r>
      <w:r w:rsidR="0075226B" w:rsidRPr="00BA4D5F">
        <w:rPr>
          <w:rFonts w:ascii="Arial" w:hAnsi="Arial" w:cs="Arial"/>
          <w:noProof/>
          <w:lang w:val="en-US"/>
        </w:rPr>
        <w:t>(Badan-Ketahanan-Pangan, 2015)</w:t>
      </w:r>
      <w:r w:rsidR="00B94BBB">
        <w:rPr>
          <w:rFonts w:ascii="Arial" w:hAnsi="Arial" w:cs="Arial"/>
          <w:lang w:val="en-US"/>
        </w:rPr>
        <w:fldChar w:fldCharType="end"/>
      </w:r>
      <w:r w:rsidR="0075226B">
        <w:rPr>
          <w:rFonts w:ascii="Arial" w:hAnsi="Arial" w:cs="Arial"/>
          <w:lang w:val="en-US"/>
        </w:rPr>
        <w:t xml:space="preserve">. Pangan lainnya tidak </w:t>
      </w:r>
      <w:r w:rsidR="000C711B">
        <w:rPr>
          <w:rFonts w:ascii="Arial" w:hAnsi="Arial" w:cs="Arial"/>
          <w:lang w:val="en-US"/>
        </w:rPr>
        <w:t>ada dalam</w:t>
      </w:r>
      <w:r w:rsidR="0075226B">
        <w:rPr>
          <w:rFonts w:ascii="Arial" w:hAnsi="Arial" w:cs="Arial"/>
          <w:lang w:val="en-US"/>
        </w:rPr>
        <w:t xml:space="preserve"> ketentuan PPH.  </w:t>
      </w:r>
    </w:p>
    <w:p w:rsidR="00B87CA4" w:rsidRDefault="00E525A8" w:rsidP="00E525A8">
      <w:pPr>
        <w:pStyle w:val="NoSpacing"/>
        <w:ind w:firstLine="709"/>
        <w:jc w:val="both"/>
        <w:rPr>
          <w:rFonts w:ascii="Arial" w:hAnsi="Arial" w:cs="Arial"/>
          <w:bCs/>
          <w:color w:val="000000"/>
          <w:sz w:val="22"/>
          <w:szCs w:val="22"/>
        </w:rPr>
      </w:pPr>
      <w:r>
        <w:rPr>
          <w:rFonts w:ascii="Arial" w:hAnsi="Arial" w:cs="Arial"/>
          <w:bCs/>
          <w:color w:val="000000"/>
          <w:sz w:val="22"/>
          <w:szCs w:val="22"/>
        </w:rPr>
        <w:t xml:space="preserve">Konsumsi utama yang menjadi prioritas adalah pemenuhan karbohidrat (beras). Jumlah rata-rata per rumahtangga sebesar 5,01 Kg/minggu atau rata-rata perkapita 1,36 Kg/minggu. </w:t>
      </w:r>
      <w:r w:rsidR="00BA4D5F">
        <w:rPr>
          <w:rFonts w:ascii="Arial" w:hAnsi="Arial" w:cs="Arial"/>
          <w:bCs/>
          <w:color w:val="000000"/>
          <w:sz w:val="22"/>
          <w:szCs w:val="22"/>
        </w:rPr>
        <w:t xml:space="preserve">Jika dikonversi ke konsumsi rata-rata perkapita per hari maka jumlah konsumsi beras 212 Gram/kapita/hari. Jumlah ini masih lebih rendah </w:t>
      </w:r>
      <w:r w:rsidR="00B87CA4">
        <w:rPr>
          <w:rFonts w:ascii="Arial" w:hAnsi="Arial" w:cs="Arial"/>
          <w:bCs/>
          <w:color w:val="000000"/>
          <w:sz w:val="22"/>
          <w:szCs w:val="22"/>
        </w:rPr>
        <w:t xml:space="preserve">(77,1%) </w:t>
      </w:r>
      <w:r w:rsidR="00BA4D5F">
        <w:rPr>
          <w:rFonts w:ascii="Arial" w:hAnsi="Arial" w:cs="Arial"/>
          <w:bCs/>
          <w:color w:val="000000"/>
          <w:sz w:val="22"/>
          <w:szCs w:val="22"/>
        </w:rPr>
        <w:t xml:space="preserve">dari angka PPH beras yakni sebesar 275 Gram/kapita/hari </w:t>
      </w:r>
      <w:r w:rsidR="00B94BBB">
        <w:rPr>
          <w:rFonts w:ascii="Arial" w:hAnsi="Arial" w:cs="Arial"/>
        </w:rPr>
        <w:fldChar w:fldCharType="begin" w:fldLock="1"/>
      </w:r>
      <w:r w:rsidR="00BA4D5F">
        <w:rPr>
          <w:rFonts w:ascii="Arial" w:hAnsi="Arial" w:cs="Arial"/>
        </w:rPr>
        <w:instrText>ADDIN CSL_CITATION { "citationItems" : [ { "id" : "ITEM-1", "itemData" : { "author" : [ { "dropping-particle" : "", "family" : "Badan-Ketahanan-Pangan", "given" : "", "non-dropping-particle" : "", "parse-names" : false, "suffix" : "" } ], "id" : "ITEM-1", "issued" : { "date-parts" : [ [ "2015" ] ] }, "publisher" : "Badan Ketahanan Pangan Kementerian Pertanian", "publisher-place" : "Jakarta", "title" : "Panduan Penghitungan Pola Pangan Harapan (PPH)", "type" : "book" }, "uris" : [ "http://www.mendeley.com/documents/?uuid=2ad2f9c2-51eb-4e75-a8fe-fd2463ddff2b" ] } ], "mendeley" : { "formattedCitation" : "(Badan-Ketahanan-Pangan, 2015)", "plainTextFormattedCitation" : "(Badan-Ketahanan-Pangan, 2015)", "previouslyFormattedCitation" : "(Badan-Ketahanan-Pangan, 2015)" }, "properties" : {  }, "schema" : "https://github.com/citation-style-language/schema/raw/master/csl-citation.json" }</w:instrText>
      </w:r>
      <w:r w:rsidR="00B94BBB">
        <w:rPr>
          <w:rFonts w:ascii="Arial" w:hAnsi="Arial" w:cs="Arial"/>
        </w:rPr>
        <w:fldChar w:fldCharType="separate"/>
      </w:r>
      <w:r w:rsidR="00BA4D5F" w:rsidRPr="00BA4D5F">
        <w:rPr>
          <w:rFonts w:ascii="Arial" w:hAnsi="Arial" w:cs="Arial"/>
          <w:noProof/>
        </w:rPr>
        <w:t>(Badan-Ketahanan-Pangan, 2015)</w:t>
      </w:r>
      <w:r w:rsidR="00B94BBB">
        <w:rPr>
          <w:rFonts w:ascii="Arial" w:hAnsi="Arial" w:cs="Arial"/>
        </w:rPr>
        <w:fldChar w:fldCharType="end"/>
      </w:r>
      <w:r w:rsidR="00BA4D5F">
        <w:rPr>
          <w:rFonts w:ascii="Arial" w:hAnsi="Arial" w:cs="Arial"/>
        </w:rPr>
        <w:t>.</w:t>
      </w:r>
      <w:r w:rsidR="00BA4D5F">
        <w:rPr>
          <w:rFonts w:ascii="Arial" w:hAnsi="Arial" w:cs="Arial"/>
          <w:bCs/>
          <w:color w:val="000000"/>
          <w:sz w:val="22"/>
          <w:szCs w:val="22"/>
        </w:rPr>
        <w:t xml:space="preserve"> </w:t>
      </w:r>
      <w:r w:rsidR="00CA6420">
        <w:rPr>
          <w:rFonts w:ascii="Arial" w:hAnsi="Arial" w:cs="Arial"/>
          <w:bCs/>
          <w:color w:val="000000"/>
          <w:sz w:val="22"/>
          <w:szCs w:val="22"/>
        </w:rPr>
        <w:t xml:space="preserve">Dominasi pangan pada beras ini konsisten dengan </w:t>
      </w:r>
      <w:r w:rsidR="00E94E05">
        <w:rPr>
          <w:rFonts w:ascii="Arial" w:hAnsi="Arial" w:cs="Arial"/>
          <w:bCs/>
          <w:color w:val="000000"/>
          <w:sz w:val="22"/>
          <w:szCs w:val="22"/>
        </w:rPr>
        <w:t>penelitian terdahulu</w:t>
      </w:r>
      <w:r w:rsidR="00CA6420">
        <w:rPr>
          <w:rFonts w:ascii="Arial" w:hAnsi="Arial" w:cs="Arial"/>
          <w:bCs/>
          <w:color w:val="000000"/>
          <w:sz w:val="22"/>
          <w:szCs w:val="22"/>
        </w:rPr>
        <w:t xml:space="preserve"> bahwa partisipasi orang dewasa dalam konsumsi pangan kelompok padi-padian adalah sebesar 99%</w:t>
      </w:r>
      <w:r w:rsidR="00E94E05">
        <w:rPr>
          <w:rFonts w:ascii="Arial" w:hAnsi="Arial" w:cs="Arial"/>
          <w:bCs/>
          <w:color w:val="000000"/>
          <w:sz w:val="22"/>
          <w:szCs w:val="22"/>
        </w:rPr>
        <w:t xml:space="preserve"> </w:t>
      </w:r>
      <w:r w:rsidR="00B94BBB">
        <w:rPr>
          <w:rFonts w:ascii="Arial" w:hAnsi="Arial" w:cs="Arial"/>
          <w:bCs/>
          <w:color w:val="000000"/>
          <w:sz w:val="22"/>
          <w:szCs w:val="22"/>
        </w:rPr>
        <w:fldChar w:fldCharType="begin" w:fldLock="1"/>
      </w:r>
      <w:r w:rsidR="00E94E05">
        <w:rPr>
          <w:rFonts w:ascii="Arial" w:hAnsi="Arial" w:cs="Arial"/>
          <w:bCs/>
          <w:color w:val="000000"/>
          <w:sz w:val="22"/>
          <w:szCs w:val="22"/>
        </w:rPr>
        <w:instrText>ADDIN CSL_CITATION { "citationItems" : [ { "id" : "ITEM-1", "itemData" : { "DOI" : "10.25182/jgp.2013.8.3.159-166", "ISSN" : "1978-1059", "abstract" : "This study aimed to assess food and nutrients intake, Nutrient Dietary Quality (NDQ), and Desirable Dietary Pattern (DDP) score of children aged 2\u20146 years.This study was carried out through analyzing a consumption data set of the National Basic Health Research (Riskesdas) 2010 were collected using 24 hour recall method. Total number 16 675 of children aged 2\u20146 years. The results showed that most children eat cereals (99.4%) and least eat oily seeds (1.6%). The children had deficiency of energy, fats, and water. They also had deficiency of calcium, vitamin A, vitamin B9, and vitamin C. The mean DDP score of the children was 67.1\u00b112.9. The mean NDQ of the children was 62.4\u00b117.1. Correlation between DDP score and each of NDQ was found 0.578\u20140.621 that showed moderate validity result.&lt;br /&gt;&lt;br /&gt;", "author" : [ { "dropping-particle" : "", "family" : "Prasetyo", "given" : "Teguh Jati", "non-dropping-particle" : "", "parse-names" : false, "suffix" : "" }, { "dropping-particle" : "", "family" : "Hardinsyah", "given" : "Hardinsyah", "non-dropping-particle" : "", "parse-names" : false, "suffix" : "" }, { "dropping-particle" : "", "family" : "Sinaga", "given" : "Tiurma", "non-dropping-particle" : "", "parse-names" : false, "suffix" : "" } ], "container-title" : "Jurnal Gizi dan Pangan", "id" : "ITEM-1", "issue" : "3", "issued" : { "date-parts" : [ [ "2014" ] ] }, "page" : "159", "title" : "Konsumsi Pangan Dan Gizi Serta Skor Pola Pangan Harapan (Pph) Pada Anak Usia 2\u20146 Tahun Di Indonesia", "type" : "article-journal", "volume" : "8" }, "uris" : [ "http://www.mendeley.com/documents/?uuid=e0bc4db9-da20-47ed-8a01-f49f79e7ccec" ] } ], "mendeley" : { "formattedCitation" : "(Prasetyo, Hardinsyah, &amp; Sinaga, 2014)", "plainTextFormattedCitation" : "(Prasetyo, Hardinsyah, &amp; Sinaga, 2014)", "previouslyFormattedCitation" : "(Prasetyo, Hardinsyah, &amp; Sinaga, 2014)" }, "properties" : {  }, "schema" : "https://github.com/citation-style-language/schema/raw/master/csl-citation.json" }</w:instrText>
      </w:r>
      <w:r w:rsidR="00B94BBB">
        <w:rPr>
          <w:rFonts w:ascii="Arial" w:hAnsi="Arial" w:cs="Arial"/>
          <w:bCs/>
          <w:color w:val="000000"/>
          <w:sz w:val="22"/>
          <w:szCs w:val="22"/>
        </w:rPr>
        <w:fldChar w:fldCharType="separate"/>
      </w:r>
      <w:r w:rsidR="00E94E05" w:rsidRPr="00E94E05">
        <w:rPr>
          <w:rFonts w:ascii="Arial" w:hAnsi="Arial" w:cs="Arial"/>
          <w:bCs/>
          <w:noProof/>
          <w:color w:val="000000"/>
          <w:sz w:val="22"/>
          <w:szCs w:val="22"/>
        </w:rPr>
        <w:t>(Prasetyo, Hardinsyah, &amp; Sinaga, 2014)</w:t>
      </w:r>
      <w:r w:rsidR="00B94BBB">
        <w:rPr>
          <w:rFonts w:ascii="Arial" w:hAnsi="Arial" w:cs="Arial"/>
          <w:bCs/>
          <w:color w:val="000000"/>
          <w:sz w:val="22"/>
          <w:szCs w:val="22"/>
        </w:rPr>
        <w:fldChar w:fldCharType="end"/>
      </w:r>
      <w:r w:rsidR="00CA6420">
        <w:rPr>
          <w:rFonts w:ascii="Arial" w:hAnsi="Arial" w:cs="Arial"/>
          <w:bCs/>
          <w:color w:val="000000"/>
          <w:sz w:val="22"/>
          <w:szCs w:val="22"/>
        </w:rPr>
        <w:t>.</w:t>
      </w:r>
    </w:p>
    <w:p w:rsidR="00E94E05" w:rsidRDefault="00E94E05" w:rsidP="00E525A8">
      <w:pPr>
        <w:pStyle w:val="NoSpacing"/>
        <w:ind w:firstLine="709"/>
        <w:jc w:val="both"/>
        <w:rPr>
          <w:rFonts w:ascii="Arial" w:hAnsi="Arial" w:cs="Arial"/>
          <w:bCs/>
          <w:color w:val="000000"/>
          <w:sz w:val="22"/>
          <w:szCs w:val="22"/>
        </w:rPr>
      </w:pPr>
    </w:p>
    <w:p w:rsidR="00961DF8" w:rsidRPr="004F445E" w:rsidRDefault="004F445E" w:rsidP="00961DF8">
      <w:pPr>
        <w:spacing w:after="0" w:line="240" w:lineRule="auto"/>
        <w:jc w:val="center"/>
        <w:rPr>
          <w:rFonts w:ascii="Arial" w:hAnsi="Arial" w:cs="Arial"/>
          <w:b/>
          <w:lang w:val="en-US"/>
        </w:rPr>
      </w:pPr>
      <w:r>
        <w:rPr>
          <w:rFonts w:ascii="Arial" w:hAnsi="Arial" w:cs="Arial"/>
          <w:b/>
        </w:rPr>
        <w:t xml:space="preserve">Tabel </w:t>
      </w:r>
      <w:r>
        <w:rPr>
          <w:rFonts w:ascii="Arial" w:hAnsi="Arial" w:cs="Arial"/>
          <w:b/>
          <w:lang w:val="en-US"/>
        </w:rPr>
        <w:t>5</w:t>
      </w:r>
    </w:p>
    <w:p w:rsidR="00961DF8" w:rsidRPr="00575F69" w:rsidRDefault="00961DF8" w:rsidP="00961DF8">
      <w:pPr>
        <w:spacing w:after="0" w:line="240" w:lineRule="auto"/>
        <w:jc w:val="center"/>
        <w:rPr>
          <w:rFonts w:ascii="Arial" w:hAnsi="Arial" w:cs="Arial"/>
          <w:b/>
        </w:rPr>
      </w:pPr>
      <w:r w:rsidRPr="00575F69">
        <w:rPr>
          <w:rFonts w:ascii="Arial" w:hAnsi="Arial" w:cs="Arial"/>
          <w:b/>
        </w:rPr>
        <w:t>Konsumsi Pangan Selama Satu Minggu</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803"/>
        <w:gridCol w:w="1834"/>
        <w:gridCol w:w="1698"/>
        <w:gridCol w:w="1414"/>
        <w:gridCol w:w="1405"/>
      </w:tblGrid>
      <w:tr w:rsidR="004D290E" w:rsidRPr="00F72955" w:rsidTr="00457662">
        <w:tc>
          <w:tcPr>
            <w:tcW w:w="1803" w:type="dxa"/>
            <w:tcBorders>
              <w:bottom w:val="single" w:sz="4" w:space="0" w:color="auto"/>
            </w:tcBorders>
          </w:tcPr>
          <w:p w:rsidR="00FE02AB" w:rsidRPr="00F72955" w:rsidRDefault="00FE02AB" w:rsidP="00457662">
            <w:pPr>
              <w:spacing w:after="0" w:line="240" w:lineRule="auto"/>
              <w:jc w:val="center"/>
              <w:rPr>
                <w:rFonts w:ascii="Arial" w:eastAsia="Times New Roman" w:hAnsi="Arial" w:cs="Arial"/>
                <w:color w:val="000000"/>
                <w:sz w:val="20"/>
                <w:szCs w:val="20"/>
              </w:rPr>
            </w:pPr>
            <w:r w:rsidRPr="00F72955">
              <w:rPr>
                <w:rFonts w:ascii="Arial" w:eastAsia="Times New Roman" w:hAnsi="Arial" w:cs="Arial"/>
                <w:color w:val="000000"/>
                <w:sz w:val="20"/>
                <w:szCs w:val="20"/>
              </w:rPr>
              <w:t>Jenis pangan</w:t>
            </w:r>
          </w:p>
        </w:tc>
        <w:tc>
          <w:tcPr>
            <w:tcW w:w="1834" w:type="dxa"/>
            <w:tcBorders>
              <w:bottom w:val="single" w:sz="4" w:space="0" w:color="auto"/>
            </w:tcBorders>
          </w:tcPr>
          <w:p w:rsidR="00FE02AB" w:rsidRPr="00F72955" w:rsidRDefault="00FE02AB" w:rsidP="00457662">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Satuan</w:t>
            </w:r>
          </w:p>
        </w:tc>
        <w:tc>
          <w:tcPr>
            <w:tcW w:w="1698" w:type="dxa"/>
            <w:tcBorders>
              <w:bottom w:val="single" w:sz="4" w:space="0" w:color="auto"/>
            </w:tcBorders>
          </w:tcPr>
          <w:p w:rsidR="00FE02AB" w:rsidRPr="00F72955" w:rsidRDefault="00457662" w:rsidP="00457662">
            <w:pPr>
              <w:spacing w:after="0" w:line="240" w:lineRule="auto"/>
              <w:jc w:val="center"/>
              <w:rPr>
                <w:rFonts w:ascii="Arial" w:eastAsia="Times New Roman" w:hAnsi="Arial" w:cs="Arial"/>
                <w:sz w:val="20"/>
                <w:szCs w:val="20"/>
                <w:lang w:val="en-US"/>
              </w:rPr>
            </w:pPr>
            <w:r w:rsidRPr="00F72955">
              <w:rPr>
                <w:rFonts w:ascii="Arial" w:eastAsia="Times New Roman" w:hAnsi="Arial" w:cs="Arial"/>
                <w:sz w:val="20"/>
                <w:szCs w:val="20"/>
                <w:lang w:val="en-US"/>
              </w:rPr>
              <w:t>Konsumsi r</w:t>
            </w:r>
            <w:r w:rsidR="00FE02AB" w:rsidRPr="00F72955">
              <w:rPr>
                <w:rFonts w:ascii="Arial" w:eastAsia="Times New Roman" w:hAnsi="Arial" w:cs="Arial"/>
                <w:sz w:val="20"/>
                <w:szCs w:val="20"/>
              </w:rPr>
              <w:t>umahtangga</w:t>
            </w:r>
          </w:p>
          <w:p w:rsidR="00FE02AB" w:rsidRPr="00F72955" w:rsidRDefault="00457662" w:rsidP="00457662">
            <w:pPr>
              <w:spacing w:after="0" w:line="240" w:lineRule="auto"/>
              <w:jc w:val="center"/>
              <w:rPr>
                <w:rFonts w:ascii="Arial" w:eastAsia="Times New Roman" w:hAnsi="Arial" w:cs="Arial"/>
                <w:sz w:val="20"/>
                <w:szCs w:val="20"/>
                <w:lang w:val="en-US"/>
              </w:rPr>
            </w:pPr>
            <w:r w:rsidRPr="00F72955">
              <w:rPr>
                <w:rFonts w:ascii="Arial" w:eastAsia="Times New Roman" w:hAnsi="Arial" w:cs="Arial"/>
                <w:sz w:val="20"/>
                <w:szCs w:val="20"/>
                <w:lang w:val="en-US"/>
              </w:rPr>
              <w:t>se</w:t>
            </w:r>
            <w:r w:rsidR="00FE02AB" w:rsidRPr="00F72955">
              <w:rPr>
                <w:rFonts w:ascii="Arial" w:eastAsia="Times New Roman" w:hAnsi="Arial" w:cs="Arial"/>
                <w:sz w:val="20"/>
                <w:szCs w:val="20"/>
                <w:lang w:val="en-US"/>
              </w:rPr>
              <w:t>minggu</w:t>
            </w:r>
          </w:p>
        </w:tc>
        <w:tc>
          <w:tcPr>
            <w:tcW w:w="1414" w:type="dxa"/>
            <w:tcBorders>
              <w:bottom w:val="single" w:sz="4" w:space="0" w:color="auto"/>
            </w:tcBorders>
          </w:tcPr>
          <w:p w:rsidR="00457662" w:rsidRPr="00F72955" w:rsidRDefault="00457662" w:rsidP="00457662">
            <w:pPr>
              <w:spacing w:after="0" w:line="240" w:lineRule="auto"/>
              <w:jc w:val="center"/>
              <w:rPr>
                <w:rFonts w:ascii="Arial" w:eastAsia="Times New Roman" w:hAnsi="Arial" w:cs="Arial"/>
                <w:sz w:val="20"/>
                <w:szCs w:val="20"/>
                <w:lang w:val="en-US"/>
              </w:rPr>
            </w:pPr>
            <w:r w:rsidRPr="00F72955">
              <w:rPr>
                <w:rFonts w:ascii="Arial" w:eastAsia="Times New Roman" w:hAnsi="Arial" w:cs="Arial"/>
                <w:sz w:val="20"/>
                <w:szCs w:val="20"/>
                <w:lang w:val="en-US"/>
              </w:rPr>
              <w:t>Konsumsi p</w:t>
            </w:r>
            <w:r w:rsidR="004D290E" w:rsidRPr="00F72955">
              <w:rPr>
                <w:rFonts w:ascii="Arial" w:eastAsia="Times New Roman" w:hAnsi="Arial" w:cs="Arial"/>
                <w:sz w:val="20"/>
                <w:szCs w:val="20"/>
                <w:lang w:val="en-US"/>
              </w:rPr>
              <w:t xml:space="preserve">erkapita </w:t>
            </w:r>
          </w:p>
          <w:p w:rsidR="00FE02AB" w:rsidRPr="00F72955" w:rsidRDefault="00457662" w:rsidP="00457662">
            <w:pPr>
              <w:spacing w:after="0" w:line="240" w:lineRule="auto"/>
              <w:jc w:val="center"/>
              <w:rPr>
                <w:rFonts w:ascii="Arial" w:eastAsia="Times New Roman" w:hAnsi="Arial" w:cs="Arial"/>
                <w:sz w:val="20"/>
                <w:szCs w:val="20"/>
                <w:lang w:val="en-US"/>
              </w:rPr>
            </w:pPr>
            <w:r w:rsidRPr="00F72955">
              <w:rPr>
                <w:rFonts w:ascii="Arial" w:eastAsia="Times New Roman" w:hAnsi="Arial" w:cs="Arial"/>
                <w:sz w:val="20"/>
                <w:szCs w:val="20"/>
                <w:lang w:val="en-US"/>
              </w:rPr>
              <w:t>(</w:t>
            </w:r>
            <w:r w:rsidR="004D290E" w:rsidRPr="00F72955">
              <w:rPr>
                <w:rFonts w:ascii="Arial" w:eastAsia="Times New Roman" w:hAnsi="Arial" w:cs="Arial"/>
                <w:sz w:val="20"/>
                <w:szCs w:val="20"/>
                <w:lang w:val="en-US"/>
              </w:rPr>
              <w:t>Gr</w:t>
            </w:r>
            <w:r w:rsidRPr="00F72955">
              <w:rPr>
                <w:rFonts w:ascii="Arial" w:eastAsia="Times New Roman" w:hAnsi="Arial" w:cs="Arial"/>
                <w:sz w:val="20"/>
                <w:szCs w:val="20"/>
                <w:lang w:val="en-US"/>
              </w:rPr>
              <w:t xml:space="preserve"> </w:t>
            </w:r>
            <w:r w:rsidR="004D290E" w:rsidRPr="00F72955">
              <w:rPr>
                <w:rFonts w:ascii="Arial" w:eastAsia="Times New Roman" w:hAnsi="Arial" w:cs="Arial"/>
                <w:sz w:val="20"/>
                <w:szCs w:val="20"/>
                <w:lang w:val="en-US"/>
              </w:rPr>
              <w:t>/</w:t>
            </w:r>
            <w:r w:rsidRPr="00F72955">
              <w:rPr>
                <w:rFonts w:ascii="Arial" w:eastAsia="Times New Roman" w:hAnsi="Arial" w:cs="Arial"/>
                <w:sz w:val="20"/>
                <w:szCs w:val="20"/>
                <w:lang w:val="en-US"/>
              </w:rPr>
              <w:t xml:space="preserve"> </w:t>
            </w:r>
            <w:r w:rsidR="004D290E" w:rsidRPr="00F72955">
              <w:rPr>
                <w:rFonts w:ascii="Arial" w:eastAsia="Times New Roman" w:hAnsi="Arial" w:cs="Arial"/>
                <w:sz w:val="20"/>
                <w:szCs w:val="20"/>
                <w:lang w:val="en-US"/>
              </w:rPr>
              <w:t>hari</w:t>
            </w:r>
            <w:r w:rsidRPr="00F72955">
              <w:rPr>
                <w:rFonts w:ascii="Arial" w:eastAsia="Times New Roman" w:hAnsi="Arial" w:cs="Arial"/>
                <w:sz w:val="20"/>
                <w:szCs w:val="20"/>
                <w:lang w:val="en-US"/>
              </w:rPr>
              <w:t>)</w:t>
            </w:r>
          </w:p>
        </w:tc>
        <w:tc>
          <w:tcPr>
            <w:tcW w:w="1405" w:type="dxa"/>
            <w:tcBorders>
              <w:bottom w:val="single" w:sz="4" w:space="0" w:color="auto"/>
            </w:tcBorders>
          </w:tcPr>
          <w:p w:rsidR="00FE02AB" w:rsidRPr="00F72955" w:rsidRDefault="004D290E" w:rsidP="00457662">
            <w:pPr>
              <w:spacing w:after="0" w:line="240" w:lineRule="auto"/>
              <w:jc w:val="center"/>
              <w:rPr>
                <w:rFonts w:ascii="Arial" w:eastAsia="Times New Roman" w:hAnsi="Arial" w:cs="Arial"/>
                <w:sz w:val="20"/>
                <w:szCs w:val="20"/>
                <w:lang w:val="en-US"/>
              </w:rPr>
            </w:pPr>
            <w:r w:rsidRPr="00F72955">
              <w:rPr>
                <w:rFonts w:ascii="Arial" w:eastAsia="Times New Roman" w:hAnsi="Arial" w:cs="Arial"/>
                <w:sz w:val="20"/>
                <w:szCs w:val="20"/>
                <w:lang w:val="en-US"/>
              </w:rPr>
              <w:t>PPH</w:t>
            </w:r>
            <w:r w:rsidR="00151908" w:rsidRPr="00F72955">
              <w:rPr>
                <w:rFonts w:ascii="Arial" w:eastAsia="Times New Roman" w:hAnsi="Arial" w:cs="Arial"/>
                <w:sz w:val="20"/>
                <w:szCs w:val="20"/>
                <w:lang w:val="en-US"/>
              </w:rPr>
              <w:t>*</w:t>
            </w:r>
            <w:r w:rsidRPr="00F72955">
              <w:rPr>
                <w:rFonts w:ascii="Arial" w:eastAsia="Times New Roman" w:hAnsi="Arial" w:cs="Arial"/>
                <w:sz w:val="20"/>
                <w:szCs w:val="20"/>
                <w:lang w:val="en-US"/>
              </w:rPr>
              <w:t xml:space="preserve"> </w:t>
            </w:r>
            <w:r w:rsidR="00151908" w:rsidRPr="00F72955">
              <w:rPr>
                <w:rFonts w:ascii="Arial" w:eastAsia="Times New Roman" w:hAnsi="Arial" w:cs="Arial"/>
                <w:sz w:val="20"/>
                <w:szCs w:val="20"/>
                <w:lang w:val="en-US"/>
              </w:rPr>
              <w:t>(</w:t>
            </w:r>
            <w:r w:rsidRPr="00F72955">
              <w:rPr>
                <w:rFonts w:ascii="Arial" w:eastAsia="Times New Roman" w:hAnsi="Arial" w:cs="Arial"/>
                <w:sz w:val="20"/>
                <w:szCs w:val="20"/>
                <w:lang w:val="en-US"/>
              </w:rPr>
              <w:t>Gr/kap/hari</w:t>
            </w:r>
            <w:r w:rsidR="00151908" w:rsidRPr="00F72955">
              <w:rPr>
                <w:rFonts w:ascii="Arial" w:eastAsia="Times New Roman" w:hAnsi="Arial" w:cs="Arial"/>
                <w:sz w:val="20"/>
                <w:szCs w:val="20"/>
                <w:lang w:val="en-US"/>
              </w:rPr>
              <w:t>)</w:t>
            </w:r>
          </w:p>
        </w:tc>
      </w:tr>
      <w:tr w:rsidR="004D290E" w:rsidRPr="00F72955" w:rsidTr="00BA4D5F">
        <w:tc>
          <w:tcPr>
            <w:tcW w:w="1803" w:type="dxa"/>
            <w:tcBorders>
              <w:top w:val="single" w:sz="4" w:space="0" w:color="auto"/>
              <w:bottom w:val="nil"/>
            </w:tcBorders>
          </w:tcPr>
          <w:p w:rsidR="004D290E" w:rsidRPr="00F72955" w:rsidRDefault="004D290E" w:rsidP="006A68F2">
            <w:pPr>
              <w:spacing w:after="0" w:line="240" w:lineRule="auto"/>
              <w:rPr>
                <w:rFonts w:ascii="Arial" w:eastAsia="Times New Roman" w:hAnsi="Arial" w:cs="Arial"/>
                <w:sz w:val="20"/>
                <w:szCs w:val="20"/>
              </w:rPr>
            </w:pPr>
            <w:r w:rsidRPr="00F72955">
              <w:rPr>
                <w:rFonts w:ascii="Arial" w:eastAsia="Times New Roman" w:hAnsi="Arial" w:cs="Arial"/>
                <w:sz w:val="20"/>
                <w:szCs w:val="20"/>
              </w:rPr>
              <w:t>Beras</w:t>
            </w:r>
          </w:p>
        </w:tc>
        <w:tc>
          <w:tcPr>
            <w:tcW w:w="1834" w:type="dxa"/>
            <w:tcBorders>
              <w:top w:val="single" w:sz="4" w:space="0" w:color="auto"/>
              <w:bottom w:val="nil"/>
            </w:tcBorders>
          </w:tcPr>
          <w:p w:rsidR="004D290E" w:rsidRPr="00F72955" w:rsidRDefault="004D290E"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Borders>
              <w:top w:val="single" w:sz="4" w:space="0" w:color="auto"/>
              <w:bottom w:val="nil"/>
            </w:tcBorders>
          </w:tcPr>
          <w:p w:rsidR="004D290E"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5</w:t>
            </w:r>
            <w:r w:rsidRPr="00F72955">
              <w:rPr>
                <w:rFonts w:ascii="Arial" w:hAnsi="Arial" w:cs="Arial"/>
                <w:color w:val="000000"/>
                <w:sz w:val="20"/>
                <w:szCs w:val="20"/>
                <w:lang w:val="en-US"/>
              </w:rPr>
              <w:t>,</w:t>
            </w:r>
            <w:r w:rsidR="004D290E" w:rsidRPr="00F72955">
              <w:rPr>
                <w:rFonts w:ascii="Arial" w:hAnsi="Arial" w:cs="Arial"/>
                <w:color w:val="000000"/>
                <w:sz w:val="20"/>
                <w:szCs w:val="20"/>
              </w:rPr>
              <w:t>39</w:t>
            </w:r>
          </w:p>
        </w:tc>
        <w:tc>
          <w:tcPr>
            <w:tcW w:w="1414" w:type="dxa"/>
            <w:tcBorders>
              <w:top w:val="single" w:sz="4" w:space="0" w:color="auto"/>
              <w:bottom w:val="nil"/>
            </w:tcBorders>
          </w:tcPr>
          <w:p w:rsidR="004D290E" w:rsidRPr="00F72955" w:rsidRDefault="004D290E" w:rsidP="00BA4D5F">
            <w:pPr>
              <w:spacing w:after="0"/>
              <w:jc w:val="center"/>
              <w:rPr>
                <w:rFonts w:ascii="Arial" w:hAnsi="Arial" w:cs="Arial"/>
                <w:color w:val="000000"/>
                <w:sz w:val="20"/>
                <w:szCs w:val="20"/>
              </w:rPr>
            </w:pPr>
            <w:r w:rsidRPr="00F72955">
              <w:rPr>
                <w:rFonts w:ascii="Arial" w:hAnsi="Arial" w:cs="Arial"/>
                <w:color w:val="000000"/>
                <w:sz w:val="20"/>
                <w:szCs w:val="20"/>
              </w:rPr>
              <w:t>212</w:t>
            </w:r>
          </w:p>
        </w:tc>
        <w:tc>
          <w:tcPr>
            <w:tcW w:w="1405" w:type="dxa"/>
            <w:tcBorders>
              <w:top w:val="single" w:sz="4" w:space="0" w:color="auto"/>
              <w:bottom w:val="nil"/>
            </w:tcBorders>
          </w:tcPr>
          <w:p w:rsidR="004D290E" w:rsidRPr="00F72955" w:rsidRDefault="004D290E"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275</w:t>
            </w:r>
          </w:p>
        </w:tc>
      </w:tr>
      <w:tr w:rsidR="004D290E" w:rsidRPr="00F72955" w:rsidTr="00BA4D5F">
        <w:tc>
          <w:tcPr>
            <w:tcW w:w="1803" w:type="dxa"/>
            <w:tcBorders>
              <w:top w:val="nil"/>
            </w:tcBorders>
          </w:tcPr>
          <w:p w:rsidR="004D290E" w:rsidRPr="00F72955" w:rsidRDefault="004D290E" w:rsidP="006A68F2">
            <w:pPr>
              <w:spacing w:after="0" w:line="240" w:lineRule="auto"/>
              <w:rPr>
                <w:rFonts w:ascii="Arial" w:eastAsia="Times New Roman" w:hAnsi="Arial" w:cs="Arial"/>
                <w:sz w:val="20"/>
                <w:szCs w:val="20"/>
                <w:lang w:val="en-US"/>
              </w:rPr>
            </w:pPr>
            <w:r w:rsidRPr="00F72955">
              <w:rPr>
                <w:rFonts w:ascii="Arial" w:eastAsia="Times New Roman" w:hAnsi="Arial" w:cs="Arial"/>
                <w:sz w:val="20"/>
                <w:szCs w:val="20"/>
              </w:rPr>
              <w:t>Palawija</w:t>
            </w:r>
            <w:r w:rsidR="00E110B1" w:rsidRPr="00F72955">
              <w:rPr>
                <w:rFonts w:ascii="Arial" w:eastAsia="Times New Roman" w:hAnsi="Arial" w:cs="Arial"/>
                <w:sz w:val="20"/>
                <w:szCs w:val="20"/>
                <w:lang w:val="en-US"/>
              </w:rPr>
              <w:t xml:space="preserve"> / Umbi</w:t>
            </w:r>
          </w:p>
        </w:tc>
        <w:tc>
          <w:tcPr>
            <w:tcW w:w="1834" w:type="dxa"/>
            <w:tcBorders>
              <w:top w:val="nil"/>
            </w:tcBorders>
          </w:tcPr>
          <w:p w:rsidR="004D290E" w:rsidRPr="00F72955" w:rsidRDefault="004D290E"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Borders>
              <w:top w:val="nil"/>
            </w:tcBorders>
          </w:tcPr>
          <w:p w:rsidR="004D290E"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4D290E" w:rsidRPr="00F72955">
              <w:rPr>
                <w:rFonts w:ascii="Arial" w:hAnsi="Arial" w:cs="Arial"/>
                <w:color w:val="000000"/>
                <w:sz w:val="20"/>
                <w:szCs w:val="20"/>
              </w:rPr>
              <w:t>54</w:t>
            </w:r>
          </w:p>
        </w:tc>
        <w:tc>
          <w:tcPr>
            <w:tcW w:w="1414" w:type="dxa"/>
            <w:tcBorders>
              <w:top w:val="nil"/>
            </w:tcBorders>
          </w:tcPr>
          <w:p w:rsidR="004D290E" w:rsidRPr="00F72955" w:rsidRDefault="004D290E" w:rsidP="00BA4D5F">
            <w:pPr>
              <w:spacing w:after="0"/>
              <w:jc w:val="center"/>
              <w:rPr>
                <w:rFonts w:ascii="Arial" w:hAnsi="Arial" w:cs="Arial"/>
                <w:color w:val="000000"/>
                <w:sz w:val="20"/>
                <w:szCs w:val="20"/>
              </w:rPr>
            </w:pPr>
            <w:r w:rsidRPr="00F72955">
              <w:rPr>
                <w:rFonts w:ascii="Arial" w:hAnsi="Arial" w:cs="Arial"/>
                <w:color w:val="000000"/>
                <w:sz w:val="20"/>
                <w:szCs w:val="20"/>
              </w:rPr>
              <w:t>21</w:t>
            </w:r>
          </w:p>
        </w:tc>
        <w:tc>
          <w:tcPr>
            <w:tcW w:w="1405" w:type="dxa"/>
            <w:tcBorders>
              <w:top w:val="nil"/>
            </w:tcBorders>
          </w:tcPr>
          <w:p w:rsidR="004D290E" w:rsidRPr="00F72955" w:rsidRDefault="004D290E"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100</w:t>
            </w:r>
          </w:p>
        </w:tc>
      </w:tr>
      <w:tr w:rsidR="004D290E" w:rsidRPr="00F72955" w:rsidTr="00BA4D5F">
        <w:tc>
          <w:tcPr>
            <w:tcW w:w="1803" w:type="dxa"/>
          </w:tcPr>
          <w:p w:rsidR="004D290E" w:rsidRPr="00F72955" w:rsidRDefault="004D290E" w:rsidP="006A68F2">
            <w:pPr>
              <w:spacing w:after="0" w:line="240" w:lineRule="auto"/>
              <w:rPr>
                <w:rFonts w:ascii="Arial" w:eastAsia="Times New Roman" w:hAnsi="Arial" w:cs="Arial"/>
                <w:sz w:val="20"/>
                <w:szCs w:val="20"/>
              </w:rPr>
            </w:pPr>
            <w:r w:rsidRPr="00F72955">
              <w:rPr>
                <w:rFonts w:ascii="Arial" w:eastAsia="Times New Roman" w:hAnsi="Arial" w:cs="Arial"/>
                <w:sz w:val="20"/>
                <w:szCs w:val="20"/>
              </w:rPr>
              <w:t xml:space="preserve">Karbohidrat </w:t>
            </w:r>
            <w:r w:rsidR="00E110B1" w:rsidRPr="00F72955">
              <w:rPr>
                <w:rFonts w:ascii="Arial" w:eastAsia="Times New Roman" w:hAnsi="Arial" w:cs="Arial"/>
                <w:sz w:val="20"/>
                <w:szCs w:val="20"/>
                <w:lang w:val="en-US"/>
              </w:rPr>
              <w:t xml:space="preserve"> </w:t>
            </w:r>
            <w:r w:rsidRPr="00F72955">
              <w:rPr>
                <w:rFonts w:ascii="Arial" w:eastAsia="Times New Roman" w:hAnsi="Arial" w:cs="Arial"/>
                <w:sz w:val="20"/>
                <w:szCs w:val="20"/>
              </w:rPr>
              <w:t>lain</w:t>
            </w:r>
          </w:p>
        </w:tc>
        <w:tc>
          <w:tcPr>
            <w:tcW w:w="1834" w:type="dxa"/>
          </w:tcPr>
          <w:p w:rsidR="004D290E" w:rsidRPr="00F72955" w:rsidRDefault="004D290E"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4D290E"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3</w:t>
            </w:r>
            <w:r w:rsidRPr="00F72955">
              <w:rPr>
                <w:rFonts w:ascii="Arial" w:hAnsi="Arial" w:cs="Arial"/>
                <w:color w:val="000000"/>
                <w:sz w:val="20"/>
                <w:szCs w:val="20"/>
                <w:lang w:val="en-US"/>
              </w:rPr>
              <w:t>,</w:t>
            </w:r>
            <w:r w:rsidR="004D290E" w:rsidRPr="00F72955">
              <w:rPr>
                <w:rFonts w:ascii="Arial" w:hAnsi="Arial" w:cs="Arial"/>
                <w:color w:val="000000"/>
                <w:sz w:val="20"/>
                <w:szCs w:val="20"/>
              </w:rPr>
              <w:t>63</w:t>
            </w:r>
          </w:p>
        </w:tc>
        <w:tc>
          <w:tcPr>
            <w:tcW w:w="1414" w:type="dxa"/>
          </w:tcPr>
          <w:p w:rsidR="004D290E" w:rsidRPr="00F72955" w:rsidRDefault="004D290E" w:rsidP="00BA4D5F">
            <w:pPr>
              <w:spacing w:after="0"/>
              <w:jc w:val="center"/>
              <w:rPr>
                <w:rFonts w:ascii="Arial" w:hAnsi="Arial" w:cs="Arial"/>
                <w:color w:val="000000"/>
                <w:sz w:val="20"/>
                <w:szCs w:val="20"/>
              </w:rPr>
            </w:pPr>
            <w:r w:rsidRPr="00F72955">
              <w:rPr>
                <w:rFonts w:ascii="Arial" w:hAnsi="Arial" w:cs="Arial"/>
                <w:color w:val="000000"/>
                <w:sz w:val="20"/>
                <w:szCs w:val="20"/>
              </w:rPr>
              <w:t>142</w:t>
            </w:r>
          </w:p>
        </w:tc>
        <w:tc>
          <w:tcPr>
            <w:tcW w:w="1405" w:type="dxa"/>
          </w:tcPr>
          <w:p w:rsidR="004D290E" w:rsidRPr="00F72955" w:rsidRDefault="00640767"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w:t>
            </w:r>
          </w:p>
        </w:tc>
      </w:tr>
      <w:tr w:rsidR="004D290E" w:rsidRPr="00F72955" w:rsidTr="00BA4D5F">
        <w:tc>
          <w:tcPr>
            <w:tcW w:w="1803" w:type="dxa"/>
          </w:tcPr>
          <w:p w:rsidR="004D290E" w:rsidRPr="00F72955" w:rsidRDefault="004D290E"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Protein hewani</w:t>
            </w:r>
          </w:p>
        </w:tc>
        <w:tc>
          <w:tcPr>
            <w:tcW w:w="1834" w:type="dxa"/>
          </w:tcPr>
          <w:p w:rsidR="004D290E" w:rsidRPr="00F72955" w:rsidRDefault="004D290E"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4D290E"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w:t>
            </w:r>
            <w:r w:rsidRPr="00F72955">
              <w:rPr>
                <w:rFonts w:ascii="Arial" w:hAnsi="Arial" w:cs="Arial"/>
                <w:color w:val="000000"/>
                <w:sz w:val="20"/>
                <w:szCs w:val="20"/>
                <w:lang w:val="en-US"/>
              </w:rPr>
              <w:t>,</w:t>
            </w:r>
            <w:r w:rsidR="004D290E" w:rsidRPr="00F72955">
              <w:rPr>
                <w:rFonts w:ascii="Arial" w:hAnsi="Arial" w:cs="Arial"/>
                <w:color w:val="000000"/>
                <w:sz w:val="20"/>
                <w:szCs w:val="20"/>
              </w:rPr>
              <w:t>41</w:t>
            </w:r>
          </w:p>
        </w:tc>
        <w:tc>
          <w:tcPr>
            <w:tcW w:w="1414" w:type="dxa"/>
          </w:tcPr>
          <w:p w:rsidR="004D290E" w:rsidRPr="00F72955" w:rsidRDefault="004D290E" w:rsidP="00BA4D5F">
            <w:pPr>
              <w:spacing w:after="0"/>
              <w:jc w:val="center"/>
              <w:rPr>
                <w:rFonts w:ascii="Arial" w:hAnsi="Arial" w:cs="Arial"/>
                <w:color w:val="000000"/>
                <w:sz w:val="20"/>
                <w:szCs w:val="20"/>
              </w:rPr>
            </w:pPr>
            <w:r w:rsidRPr="00F72955">
              <w:rPr>
                <w:rFonts w:ascii="Arial" w:hAnsi="Arial" w:cs="Arial"/>
                <w:color w:val="000000"/>
                <w:sz w:val="20"/>
                <w:szCs w:val="20"/>
              </w:rPr>
              <w:t>55</w:t>
            </w:r>
          </w:p>
        </w:tc>
        <w:tc>
          <w:tcPr>
            <w:tcW w:w="1405" w:type="dxa"/>
          </w:tcPr>
          <w:p w:rsidR="004D290E" w:rsidRPr="00F72955" w:rsidRDefault="004D290E"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150</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Protein nabati</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4</w:t>
            </w:r>
            <w:r w:rsidRPr="00F72955">
              <w:rPr>
                <w:rFonts w:ascii="Arial" w:hAnsi="Arial" w:cs="Arial"/>
                <w:color w:val="000000"/>
                <w:sz w:val="20"/>
                <w:szCs w:val="20"/>
                <w:lang w:val="en-US"/>
              </w:rPr>
              <w:t>,</w:t>
            </w:r>
            <w:r w:rsidR="00AD1F15" w:rsidRPr="00F72955">
              <w:rPr>
                <w:rFonts w:ascii="Arial" w:hAnsi="Arial" w:cs="Arial"/>
                <w:color w:val="000000"/>
                <w:sz w:val="20"/>
                <w:szCs w:val="20"/>
              </w:rPr>
              <w:t>37</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43</w:t>
            </w:r>
          </w:p>
        </w:tc>
        <w:tc>
          <w:tcPr>
            <w:tcW w:w="1405" w:type="dxa"/>
          </w:tcPr>
          <w:p w:rsidR="00AD1F15" w:rsidRPr="00F72955" w:rsidRDefault="00AD1F15"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35</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Sayuran</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ikat</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3</w:t>
            </w:r>
            <w:r w:rsidRPr="00F72955">
              <w:rPr>
                <w:rFonts w:ascii="Arial" w:hAnsi="Arial" w:cs="Arial"/>
                <w:color w:val="000000"/>
                <w:sz w:val="20"/>
                <w:szCs w:val="20"/>
                <w:lang w:val="en-US"/>
              </w:rPr>
              <w:t>,</w:t>
            </w:r>
            <w:r w:rsidR="00AD1F15" w:rsidRPr="00F72955">
              <w:rPr>
                <w:rFonts w:ascii="Arial" w:hAnsi="Arial" w:cs="Arial"/>
                <w:color w:val="000000"/>
                <w:sz w:val="20"/>
                <w:szCs w:val="20"/>
              </w:rPr>
              <w:t>51</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34</w:t>
            </w:r>
          </w:p>
        </w:tc>
        <w:tc>
          <w:tcPr>
            <w:tcW w:w="1405" w:type="dxa"/>
          </w:tcPr>
          <w:p w:rsidR="00AD1F15" w:rsidRPr="00F72955" w:rsidRDefault="00AD1F15"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250</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Buah</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AD1F15" w:rsidRPr="00F72955">
              <w:rPr>
                <w:rFonts w:ascii="Arial" w:hAnsi="Arial" w:cs="Arial"/>
                <w:color w:val="000000"/>
                <w:sz w:val="20"/>
                <w:szCs w:val="20"/>
              </w:rPr>
              <w:t>86</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34</w:t>
            </w:r>
          </w:p>
        </w:tc>
        <w:tc>
          <w:tcPr>
            <w:tcW w:w="1405" w:type="dxa"/>
          </w:tcPr>
          <w:p w:rsidR="00AD1F15" w:rsidRPr="00F72955" w:rsidRDefault="00AD1F15"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10</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Susu</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AD1F15" w:rsidRPr="00F72955">
              <w:rPr>
                <w:rFonts w:ascii="Arial" w:hAnsi="Arial" w:cs="Arial"/>
                <w:color w:val="000000"/>
                <w:sz w:val="20"/>
                <w:szCs w:val="20"/>
              </w:rPr>
              <w:t>39</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15</w:t>
            </w:r>
          </w:p>
        </w:tc>
        <w:tc>
          <w:tcPr>
            <w:tcW w:w="1405" w:type="dxa"/>
          </w:tcPr>
          <w:p w:rsidR="00AD1F15" w:rsidRPr="00F72955" w:rsidRDefault="00AD1F15"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Minyak goreng</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Liter</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w:t>
            </w:r>
            <w:r w:rsidRPr="00F72955">
              <w:rPr>
                <w:rFonts w:ascii="Arial" w:hAnsi="Arial" w:cs="Arial"/>
                <w:color w:val="000000"/>
                <w:sz w:val="20"/>
                <w:szCs w:val="20"/>
                <w:lang w:val="en-US"/>
              </w:rPr>
              <w:t>,</w:t>
            </w:r>
            <w:r w:rsidR="00AD1F15" w:rsidRPr="00F72955">
              <w:rPr>
                <w:rFonts w:ascii="Arial" w:hAnsi="Arial" w:cs="Arial"/>
                <w:color w:val="000000"/>
                <w:sz w:val="20"/>
                <w:szCs w:val="20"/>
              </w:rPr>
              <w:t>45</w:t>
            </w:r>
          </w:p>
        </w:tc>
        <w:tc>
          <w:tcPr>
            <w:tcW w:w="1414" w:type="dxa"/>
            <w:vAlign w:val="bottom"/>
          </w:tcPr>
          <w:p w:rsidR="00AD1F15" w:rsidRPr="00F72955" w:rsidRDefault="006917A9" w:rsidP="00AD1F15">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28</w:t>
            </w:r>
          </w:p>
        </w:tc>
        <w:tc>
          <w:tcPr>
            <w:tcW w:w="1405" w:type="dxa"/>
          </w:tcPr>
          <w:p w:rsidR="00AD1F15" w:rsidRPr="00F72955" w:rsidRDefault="00AD1F15"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20</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Gula</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Kg</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w:t>
            </w:r>
            <w:r w:rsidRPr="00F72955">
              <w:rPr>
                <w:rFonts w:ascii="Arial" w:hAnsi="Arial" w:cs="Arial"/>
                <w:color w:val="000000"/>
                <w:sz w:val="20"/>
                <w:szCs w:val="20"/>
                <w:lang w:val="en-US"/>
              </w:rPr>
              <w:t>,</w:t>
            </w:r>
            <w:r w:rsidR="00AD1F15" w:rsidRPr="00F72955">
              <w:rPr>
                <w:rFonts w:ascii="Arial" w:hAnsi="Arial" w:cs="Arial"/>
                <w:color w:val="000000"/>
                <w:sz w:val="20"/>
                <w:szCs w:val="20"/>
              </w:rPr>
              <w:t>09</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43</w:t>
            </w:r>
          </w:p>
        </w:tc>
        <w:tc>
          <w:tcPr>
            <w:tcW w:w="1405" w:type="dxa"/>
          </w:tcPr>
          <w:p w:rsidR="00AD1F15" w:rsidRPr="00F72955" w:rsidRDefault="00AD1F15"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30</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Kopi</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Bungkus</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1</w:t>
            </w:r>
            <w:r w:rsidRPr="00F72955">
              <w:rPr>
                <w:rFonts w:ascii="Arial" w:hAnsi="Arial" w:cs="Arial"/>
                <w:color w:val="000000"/>
                <w:sz w:val="20"/>
                <w:szCs w:val="20"/>
                <w:lang w:val="en-US"/>
              </w:rPr>
              <w:t>,</w:t>
            </w:r>
            <w:r w:rsidR="00AD1F15" w:rsidRPr="00F72955">
              <w:rPr>
                <w:rFonts w:ascii="Arial" w:hAnsi="Arial" w:cs="Arial"/>
                <w:color w:val="000000"/>
                <w:sz w:val="20"/>
                <w:szCs w:val="20"/>
              </w:rPr>
              <w:t>20</w:t>
            </w:r>
          </w:p>
        </w:tc>
        <w:tc>
          <w:tcPr>
            <w:tcW w:w="1414" w:type="dxa"/>
            <w:vAlign w:val="bottom"/>
          </w:tcPr>
          <w:p w:rsidR="00AD1F15" w:rsidRPr="00F72955" w:rsidRDefault="00A34BD8"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AD1F15" w:rsidRPr="00F72955">
              <w:rPr>
                <w:rFonts w:ascii="Arial" w:hAnsi="Arial" w:cs="Arial"/>
                <w:color w:val="000000"/>
                <w:sz w:val="20"/>
                <w:szCs w:val="20"/>
              </w:rPr>
              <w:t>47</w:t>
            </w:r>
          </w:p>
        </w:tc>
        <w:tc>
          <w:tcPr>
            <w:tcW w:w="1405" w:type="dxa"/>
          </w:tcPr>
          <w:p w:rsidR="00AD1F15" w:rsidRPr="00F72955" w:rsidRDefault="00AD1F15"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lang w:val="en-US"/>
              </w:rPr>
            </w:pPr>
            <w:r w:rsidRPr="00F72955">
              <w:rPr>
                <w:rFonts w:ascii="Arial" w:eastAsia="Times New Roman" w:hAnsi="Arial" w:cs="Arial"/>
                <w:color w:val="000000"/>
                <w:sz w:val="20"/>
                <w:szCs w:val="20"/>
              </w:rPr>
              <w:t>T</w:t>
            </w:r>
            <w:r w:rsidRPr="00F72955">
              <w:rPr>
                <w:rFonts w:ascii="Arial" w:eastAsia="Times New Roman" w:hAnsi="Arial" w:cs="Arial"/>
                <w:color w:val="000000"/>
                <w:sz w:val="20"/>
                <w:szCs w:val="20"/>
                <w:lang w:val="en-US"/>
              </w:rPr>
              <w:t>e</w:t>
            </w:r>
            <w:r w:rsidRPr="00F72955">
              <w:rPr>
                <w:rFonts w:ascii="Arial" w:eastAsia="Times New Roman" w:hAnsi="Arial" w:cs="Arial"/>
                <w:color w:val="000000"/>
                <w:sz w:val="20"/>
                <w:szCs w:val="20"/>
              </w:rPr>
              <w:t>h</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Bungkus</w:t>
            </w:r>
          </w:p>
        </w:tc>
        <w:tc>
          <w:tcPr>
            <w:tcW w:w="1698" w:type="dxa"/>
          </w:tcPr>
          <w:p w:rsidR="00AD1F15" w:rsidRPr="00F72955" w:rsidRDefault="00A34BD8" w:rsidP="00BA4D5F">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AD1F15" w:rsidRPr="00F72955">
              <w:rPr>
                <w:rFonts w:ascii="Arial" w:hAnsi="Arial" w:cs="Arial"/>
                <w:color w:val="000000"/>
                <w:sz w:val="20"/>
                <w:szCs w:val="20"/>
              </w:rPr>
              <w:t>97</w:t>
            </w:r>
          </w:p>
        </w:tc>
        <w:tc>
          <w:tcPr>
            <w:tcW w:w="1414" w:type="dxa"/>
            <w:vAlign w:val="bottom"/>
          </w:tcPr>
          <w:p w:rsidR="00AD1F15" w:rsidRPr="00F72955" w:rsidRDefault="00A34BD8"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0</w:t>
            </w:r>
            <w:r w:rsidRPr="00F72955">
              <w:rPr>
                <w:rFonts w:ascii="Arial" w:hAnsi="Arial" w:cs="Arial"/>
                <w:color w:val="000000"/>
                <w:sz w:val="20"/>
                <w:szCs w:val="20"/>
                <w:lang w:val="en-US"/>
              </w:rPr>
              <w:t>,</w:t>
            </w:r>
            <w:r w:rsidR="00AD1F15" w:rsidRPr="00F72955">
              <w:rPr>
                <w:rFonts w:ascii="Arial" w:hAnsi="Arial" w:cs="Arial"/>
                <w:color w:val="000000"/>
                <w:sz w:val="20"/>
                <w:szCs w:val="20"/>
              </w:rPr>
              <w:t>19</w:t>
            </w:r>
          </w:p>
        </w:tc>
        <w:tc>
          <w:tcPr>
            <w:tcW w:w="1405" w:type="dxa"/>
          </w:tcPr>
          <w:p w:rsidR="00AD1F15" w:rsidRPr="00F72955" w:rsidRDefault="00AD1F15"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w:t>
            </w:r>
          </w:p>
        </w:tc>
      </w:tr>
      <w:tr w:rsidR="00AD1F15" w:rsidRPr="00F72955" w:rsidTr="005E3958">
        <w:tc>
          <w:tcPr>
            <w:tcW w:w="1803" w:type="dxa"/>
          </w:tcPr>
          <w:p w:rsidR="00AD1F15" w:rsidRPr="00F72955" w:rsidRDefault="00AD1F15" w:rsidP="006A68F2">
            <w:pPr>
              <w:spacing w:after="0" w:line="240" w:lineRule="auto"/>
              <w:rPr>
                <w:rFonts w:ascii="Arial" w:eastAsia="Times New Roman" w:hAnsi="Arial" w:cs="Arial"/>
                <w:color w:val="000000"/>
                <w:sz w:val="20"/>
                <w:szCs w:val="20"/>
              </w:rPr>
            </w:pPr>
            <w:r w:rsidRPr="00F72955">
              <w:rPr>
                <w:rFonts w:ascii="Arial" w:eastAsia="Times New Roman" w:hAnsi="Arial" w:cs="Arial"/>
                <w:color w:val="000000"/>
                <w:sz w:val="20"/>
                <w:szCs w:val="20"/>
              </w:rPr>
              <w:t>Bumbu dapur</w:t>
            </w:r>
          </w:p>
        </w:tc>
        <w:tc>
          <w:tcPr>
            <w:tcW w:w="1834" w:type="dxa"/>
          </w:tcPr>
          <w:p w:rsidR="00AD1F15" w:rsidRPr="00F72955" w:rsidRDefault="00AD1F15" w:rsidP="00BA4D5F">
            <w:pPr>
              <w:spacing w:after="0" w:line="240" w:lineRule="auto"/>
              <w:jc w:val="center"/>
              <w:rPr>
                <w:rFonts w:ascii="Arial" w:eastAsia="Times New Roman" w:hAnsi="Arial" w:cs="Arial"/>
                <w:sz w:val="20"/>
                <w:szCs w:val="20"/>
              </w:rPr>
            </w:pPr>
            <w:r w:rsidRPr="00F72955">
              <w:rPr>
                <w:rFonts w:ascii="Arial" w:eastAsia="Times New Roman" w:hAnsi="Arial" w:cs="Arial"/>
                <w:sz w:val="20"/>
                <w:szCs w:val="20"/>
              </w:rPr>
              <w:t>Bumgkus</w:t>
            </w:r>
          </w:p>
        </w:tc>
        <w:tc>
          <w:tcPr>
            <w:tcW w:w="1698" w:type="dxa"/>
          </w:tcPr>
          <w:p w:rsidR="00AD1F15" w:rsidRPr="00F72955" w:rsidRDefault="00A34BD8"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rPr>
              <w:t>1</w:t>
            </w:r>
            <w:r w:rsidRPr="00F72955">
              <w:rPr>
                <w:rFonts w:ascii="Arial" w:hAnsi="Arial" w:cs="Arial"/>
                <w:color w:val="000000"/>
                <w:sz w:val="20"/>
                <w:szCs w:val="20"/>
                <w:lang w:val="en-US"/>
              </w:rPr>
              <w:t>,</w:t>
            </w:r>
            <w:r w:rsidR="00AD1F15" w:rsidRPr="00F72955">
              <w:rPr>
                <w:rFonts w:ascii="Arial" w:hAnsi="Arial" w:cs="Arial"/>
                <w:color w:val="000000"/>
                <w:sz w:val="20"/>
                <w:szCs w:val="20"/>
              </w:rPr>
              <w:t>2</w:t>
            </w:r>
            <w:r w:rsidR="00AD1F15" w:rsidRPr="00F72955">
              <w:rPr>
                <w:rFonts w:ascii="Arial" w:hAnsi="Arial" w:cs="Arial"/>
                <w:color w:val="000000"/>
                <w:sz w:val="20"/>
                <w:szCs w:val="20"/>
                <w:lang w:val="en-US"/>
              </w:rPr>
              <w:t>1</w:t>
            </w:r>
          </w:p>
        </w:tc>
        <w:tc>
          <w:tcPr>
            <w:tcW w:w="1414" w:type="dxa"/>
            <w:vAlign w:val="bottom"/>
          </w:tcPr>
          <w:p w:rsidR="00AD1F15" w:rsidRPr="00F72955" w:rsidRDefault="00AD1F15" w:rsidP="00AD1F15">
            <w:pPr>
              <w:spacing w:after="0" w:line="240" w:lineRule="auto"/>
              <w:jc w:val="center"/>
              <w:rPr>
                <w:rFonts w:ascii="Arial" w:hAnsi="Arial" w:cs="Arial"/>
                <w:color w:val="000000"/>
                <w:sz w:val="20"/>
                <w:szCs w:val="20"/>
              </w:rPr>
            </w:pPr>
            <w:r w:rsidRPr="00F72955">
              <w:rPr>
                <w:rFonts w:ascii="Arial" w:hAnsi="Arial" w:cs="Arial"/>
                <w:color w:val="000000"/>
                <w:sz w:val="20"/>
                <w:szCs w:val="20"/>
              </w:rPr>
              <w:t>47</w:t>
            </w:r>
          </w:p>
        </w:tc>
        <w:tc>
          <w:tcPr>
            <w:tcW w:w="1405" w:type="dxa"/>
          </w:tcPr>
          <w:p w:rsidR="00AD1F15" w:rsidRPr="00F72955" w:rsidRDefault="00AD1F15" w:rsidP="00BA4D5F">
            <w:pPr>
              <w:spacing w:after="0" w:line="240" w:lineRule="auto"/>
              <w:jc w:val="center"/>
              <w:rPr>
                <w:rFonts w:ascii="Arial" w:hAnsi="Arial" w:cs="Arial"/>
                <w:color w:val="000000"/>
                <w:sz w:val="20"/>
                <w:szCs w:val="20"/>
                <w:lang w:val="en-US"/>
              </w:rPr>
            </w:pPr>
            <w:r w:rsidRPr="00F72955">
              <w:rPr>
                <w:rFonts w:ascii="Arial" w:hAnsi="Arial" w:cs="Arial"/>
                <w:color w:val="000000"/>
                <w:sz w:val="20"/>
                <w:szCs w:val="20"/>
                <w:lang w:val="en-US"/>
              </w:rPr>
              <w:t>-</w:t>
            </w:r>
          </w:p>
        </w:tc>
      </w:tr>
    </w:tbl>
    <w:p w:rsidR="00457662" w:rsidRDefault="00151908" w:rsidP="00377C91">
      <w:pPr>
        <w:autoSpaceDE w:val="0"/>
        <w:autoSpaceDN w:val="0"/>
        <w:adjustRightInd w:val="0"/>
        <w:spacing w:after="0" w:line="240" w:lineRule="auto"/>
        <w:rPr>
          <w:rFonts w:ascii="Arial" w:hAnsi="Arial" w:cs="Arial"/>
          <w:lang w:val="en-US"/>
        </w:rPr>
      </w:pPr>
      <w:r>
        <w:rPr>
          <w:rFonts w:ascii="Arial" w:hAnsi="Arial" w:cs="Arial"/>
          <w:lang w:val="en-US"/>
        </w:rPr>
        <w:t>*Pola Pangan Hara</w:t>
      </w:r>
      <w:r w:rsidR="00BA4D5F">
        <w:rPr>
          <w:rFonts w:ascii="Arial" w:hAnsi="Arial" w:cs="Arial"/>
          <w:lang w:val="en-US"/>
        </w:rPr>
        <w:t>p</w:t>
      </w:r>
      <w:r>
        <w:rPr>
          <w:rFonts w:ascii="Arial" w:hAnsi="Arial" w:cs="Arial"/>
          <w:lang w:val="en-US"/>
        </w:rPr>
        <w:t xml:space="preserve">an </w:t>
      </w:r>
      <w:r w:rsidR="00B94BBB">
        <w:rPr>
          <w:rFonts w:ascii="Arial" w:hAnsi="Arial" w:cs="Arial"/>
          <w:lang w:val="en-US"/>
        </w:rPr>
        <w:fldChar w:fldCharType="begin" w:fldLock="1"/>
      </w:r>
      <w:r w:rsidR="00BA4D5F">
        <w:rPr>
          <w:rFonts w:ascii="Arial" w:hAnsi="Arial" w:cs="Arial"/>
          <w:lang w:val="en-US"/>
        </w:rPr>
        <w:instrText>ADDIN CSL_CITATION { "citationItems" : [ { "id" : "ITEM-1", "itemData" : { "author" : [ { "dropping-particle" : "", "family" : "Badan-Ketahanan-Pangan", "given" : "", "non-dropping-particle" : "", "parse-names" : false, "suffix" : "" } ], "id" : "ITEM-1", "issued" : { "date-parts" : [ [ "2015" ] ] }, "publisher" : "Badan Ketahanan Pangan Kementerian Pertanian", "publisher-place" : "Jakarta", "title" : "Panduan Penghitungan Pola Pangan Harapan (PPH)", "type" : "book" }, "uris" : [ "http://www.mendeley.com/documents/?uuid=2ad2f9c2-51eb-4e75-a8fe-fd2463ddff2b" ] } ], "mendeley" : { "formattedCitation" : "(Badan-Ketahanan-Pangan, 2015)", "plainTextFormattedCitation" : "(Badan-Ketahanan-Pangan, 2015)", "previouslyFormattedCitation" : "(Badan-Ketahanan-Pangan, 2015)" }, "properties" : {  }, "schema" : "https://github.com/citation-style-language/schema/raw/master/csl-citation.json" }</w:instrText>
      </w:r>
      <w:r w:rsidR="00B94BBB">
        <w:rPr>
          <w:rFonts w:ascii="Arial" w:hAnsi="Arial" w:cs="Arial"/>
          <w:lang w:val="en-US"/>
        </w:rPr>
        <w:fldChar w:fldCharType="separate"/>
      </w:r>
      <w:r w:rsidR="00BA4D5F" w:rsidRPr="00BA4D5F">
        <w:rPr>
          <w:rFonts w:ascii="Arial" w:hAnsi="Arial" w:cs="Arial"/>
          <w:noProof/>
          <w:lang w:val="en-US"/>
        </w:rPr>
        <w:t>(Badan-Ketahanan-Pangan, 2015)</w:t>
      </w:r>
      <w:r w:rsidR="00B94BBB">
        <w:rPr>
          <w:rFonts w:ascii="Arial" w:hAnsi="Arial" w:cs="Arial"/>
          <w:lang w:val="en-US"/>
        </w:rPr>
        <w:fldChar w:fldCharType="end"/>
      </w:r>
      <w:r w:rsidR="00BA4D5F">
        <w:rPr>
          <w:rFonts w:ascii="Arial" w:hAnsi="Arial" w:cs="Arial"/>
          <w:lang w:val="en-US"/>
        </w:rPr>
        <w:t>.</w:t>
      </w:r>
    </w:p>
    <w:p w:rsidR="00377C91" w:rsidRDefault="00377C91" w:rsidP="00377C91">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CD49A5" w:rsidRDefault="00CD49A5" w:rsidP="00B11273">
      <w:pPr>
        <w:spacing w:after="0"/>
        <w:ind w:firstLine="709"/>
        <w:rPr>
          <w:rFonts w:ascii="Arial" w:hAnsi="Arial" w:cs="Arial"/>
          <w:lang w:val="en-US"/>
        </w:rPr>
      </w:pPr>
    </w:p>
    <w:p w:rsidR="00B87CA4" w:rsidRDefault="00B87CA4" w:rsidP="00B87CA4">
      <w:pPr>
        <w:pStyle w:val="NoSpacing"/>
        <w:ind w:firstLine="709"/>
        <w:jc w:val="both"/>
        <w:rPr>
          <w:rFonts w:ascii="Arial" w:hAnsi="Arial" w:cs="Arial"/>
          <w:bCs/>
          <w:color w:val="000000"/>
          <w:sz w:val="22"/>
          <w:szCs w:val="22"/>
        </w:rPr>
      </w:pPr>
      <w:r>
        <w:rPr>
          <w:rFonts w:ascii="Arial" w:hAnsi="Arial" w:cs="Arial"/>
          <w:bCs/>
          <w:color w:val="000000"/>
          <w:sz w:val="22"/>
          <w:szCs w:val="22"/>
        </w:rPr>
        <w:t xml:space="preserve">Bahan pangan sumber protein hewani (ayam, telur, ikan, daging) terdata dengan jumlah konsumsi yang masih sangat jauh dari PPH (36,7%). Faktor penyebabnya tentu karena harga pangan hewani yang mahal masih sulit terjangkau bagi sebagian besar petani responden. </w:t>
      </w:r>
    </w:p>
    <w:p w:rsidR="006917A9" w:rsidRPr="000C711B" w:rsidRDefault="00B87CA4" w:rsidP="00AD1F15">
      <w:pPr>
        <w:pStyle w:val="NoSpacing"/>
        <w:ind w:firstLine="709"/>
        <w:jc w:val="both"/>
        <w:rPr>
          <w:rFonts w:ascii="Arial" w:hAnsi="Arial" w:cs="Arial"/>
          <w:sz w:val="22"/>
          <w:szCs w:val="22"/>
          <w:lang w:val="sv-SE"/>
        </w:rPr>
      </w:pPr>
      <w:r w:rsidRPr="000C711B">
        <w:rPr>
          <w:rFonts w:ascii="Arial" w:hAnsi="Arial" w:cs="Arial"/>
          <w:bCs/>
          <w:color w:val="000000"/>
          <w:sz w:val="22"/>
          <w:szCs w:val="22"/>
        </w:rPr>
        <w:t>Bahan pangan sumber protein nabati (tahu, tempe) dibandingkan dengan PPH kacang-kacangan, karena tahu/tempe dibuat dari bahan kacang kedelai.</w:t>
      </w:r>
      <w:r w:rsidR="00AD1F15" w:rsidRPr="000C711B">
        <w:rPr>
          <w:rFonts w:ascii="Arial" w:hAnsi="Arial" w:cs="Arial"/>
          <w:bCs/>
          <w:color w:val="000000"/>
          <w:sz w:val="22"/>
          <w:szCs w:val="22"/>
        </w:rPr>
        <w:t xml:space="preserve"> Konsumsi protein nabati lebih besar dari PPH (123%</w:t>
      </w:r>
      <w:r w:rsidR="00AD1F15" w:rsidRPr="000C711B">
        <w:rPr>
          <w:rFonts w:ascii="Arial" w:hAnsi="Arial" w:cs="Arial"/>
          <w:sz w:val="22"/>
          <w:szCs w:val="22"/>
          <w:lang w:val="sv-SE"/>
        </w:rPr>
        <w:t>). Hal ini terjadi karena masyarakat mengganti pangani hewani sebagai lauk pauk dengan pangan nabati yang harganya lebih murah.</w:t>
      </w:r>
    </w:p>
    <w:p w:rsidR="006917A9" w:rsidRPr="000C711B" w:rsidRDefault="006917A9" w:rsidP="000C711B">
      <w:pPr>
        <w:pStyle w:val="NoSpacing"/>
        <w:ind w:firstLine="709"/>
        <w:jc w:val="both"/>
        <w:rPr>
          <w:rFonts w:ascii="Arial" w:hAnsi="Arial" w:cs="Arial"/>
          <w:sz w:val="22"/>
          <w:szCs w:val="22"/>
          <w:lang w:val="sv-SE"/>
        </w:rPr>
      </w:pPr>
      <w:r w:rsidRPr="000C711B">
        <w:rPr>
          <w:rFonts w:ascii="Arial" w:hAnsi="Arial" w:cs="Arial"/>
          <w:sz w:val="22"/>
          <w:szCs w:val="22"/>
          <w:lang w:val="sv-SE"/>
        </w:rPr>
        <w:t>Bahan pangan lain yang lebih rendah dari PPH adalah sayuran. Petani desa ini memang tidak menanam sayuran semusim seperti sawi, kangkung, wortel, karena kondisi agroklimatnya kurang sesuai. Konsekuensinya jenis-jenis sayuran tersebut harus dibeli di pasar. Konsumsi yang lebih besar dari PPH adalah buah, karena mereka juga menanam buah seperti semangka di lahan waduk, dan pisang di lahan pekarangan.</w:t>
      </w:r>
    </w:p>
    <w:p w:rsidR="00CB5565" w:rsidRPr="00CA6420" w:rsidRDefault="006917A9" w:rsidP="00AD1F15">
      <w:pPr>
        <w:pStyle w:val="NoSpacing"/>
        <w:ind w:firstLine="709"/>
        <w:jc w:val="both"/>
        <w:rPr>
          <w:rFonts w:ascii="Arial" w:hAnsi="Arial" w:cs="Arial"/>
          <w:sz w:val="22"/>
          <w:szCs w:val="22"/>
          <w:lang w:val="sv-SE"/>
        </w:rPr>
      </w:pPr>
      <w:r w:rsidRPr="000C711B">
        <w:rPr>
          <w:rFonts w:ascii="Arial" w:hAnsi="Arial" w:cs="Arial"/>
          <w:sz w:val="22"/>
          <w:szCs w:val="22"/>
          <w:lang w:val="sv-SE"/>
        </w:rPr>
        <w:t>Data konsumsi pangan yang jumlahnya juga melampaui PPH adalah</w:t>
      </w:r>
      <w:r w:rsidRPr="00CA6420">
        <w:rPr>
          <w:rFonts w:ascii="Arial" w:hAnsi="Arial" w:cs="Arial"/>
          <w:sz w:val="22"/>
          <w:szCs w:val="22"/>
          <w:lang w:val="sv-SE"/>
        </w:rPr>
        <w:t xml:space="preserve"> minyak goreng, jumlahnya cukup besar yakni</w:t>
      </w:r>
      <w:r w:rsidR="00AD1F15" w:rsidRPr="00CA6420">
        <w:rPr>
          <w:rFonts w:ascii="Arial" w:hAnsi="Arial" w:cs="Arial"/>
          <w:sz w:val="22"/>
          <w:szCs w:val="22"/>
          <w:lang w:val="sv-SE"/>
        </w:rPr>
        <w:t xml:space="preserve"> </w:t>
      </w:r>
      <w:r w:rsidRPr="00CA6420">
        <w:rPr>
          <w:rFonts w:ascii="Arial" w:hAnsi="Arial" w:cs="Arial"/>
          <w:sz w:val="22"/>
          <w:szCs w:val="22"/>
          <w:lang w:val="sv-SE"/>
        </w:rPr>
        <w:t xml:space="preserve">140% dari PPH. Jumlah besar konsumsi minyak goreng ini disebabkan </w:t>
      </w:r>
      <w:r w:rsidRPr="00CA6420">
        <w:rPr>
          <w:rFonts w:ascii="Arial" w:hAnsi="Arial" w:cs="Arial"/>
          <w:i/>
          <w:sz w:val="22"/>
          <w:szCs w:val="22"/>
          <w:lang w:val="sv-SE"/>
        </w:rPr>
        <w:t>cooking habit</w:t>
      </w:r>
      <w:r w:rsidRPr="00CA6420">
        <w:rPr>
          <w:rFonts w:ascii="Arial" w:hAnsi="Arial" w:cs="Arial"/>
          <w:sz w:val="22"/>
          <w:szCs w:val="22"/>
          <w:lang w:val="sv-SE"/>
        </w:rPr>
        <w:t xml:space="preserve"> ibu rumahtangga yang </w:t>
      </w:r>
      <w:r w:rsidRPr="00CA6420">
        <w:rPr>
          <w:rFonts w:ascii="Arial" w:hAnsi="Arial" w:cs="Arial"/>
          <w:sz w:val="22"/>
          <w:szCs w:val="22"/>
          <w:lang w:val="sv-SE"/>
        </w:rPr>
        <w:lastRenderedPageBreak/>
        <w:t>terbiasa menggoreng lauk pauk.</w:t>
      </w:r>
      <w:r w:rsidR="00CB5565" w:rsidRPr="00CA6420">
        <w:rPr>
          <w:rFonts w:ascii="Arial" w:hAnsi="Arial" w:cs="Arial"/>
          <w:sz w:val="22"/>
          <w:szCs w:val="22"/>
          <w:lang w:val="sv-SE"/>
        </w:rPr>
        <w:t xml:space="preserve"> </w:t>
      </w:r>
    </w:p>
    <w:p w:rsidR="00B87CA4" w:rsidRPr="00CA6420" w:rsidRDefault="003048BA" w:rsidP="00AD1F15">
      <w:pPr>
        <w:pStyle w:val="NoSpacing"/>
        <w:ind w:firstLine="709"/>
        <w:jc w:val="both"/>
        <w:rPr>
          <w:rFonts w:ascii="Arial" w:hAnsi="Arial" w:cs="Arial"/>
          <w:bCs/>
          <w:sz w:val="22"/>
          <w:szCs w:val="22"/>
        </w:rPr>
      </w:pPr>
      <w:r w:rsidRPr="00CA6420">
        <w:rPr>
          <w:rFonts w:ascii="Arial" w:hAnsi="Arial" w:cs="Arial"/>
          <w:sz w:val="22"/>
          <w:szCs w:val="22"/>
          <w:lang w:val="sv-SE"/>
        </w:rPr>
        <w:t xml:space="preserve">Berbagai jenis bahan pangan yang dikonsumsi keluarga petani ”Waduk Pacal” belum ideal dalam memenuhi komposisi PPH. </w:t>
      </w:r>
      <w:r w:rsidR="00CA6420" w:rsidRPr="00CA6420">
        <w:rPr>
          <w:rFonts w:ascii="Arial" w:hAnsi="Arial" w:cs="Arial"/>
          <w:sz w:val="22"/>
          <w:szCs w:val="22"/>
          <w:lang w:val="sv-SE"/>
        </w:rPr>
        <w:t xml:space="preserve">Kondisi ini dapat dimengerti karena pendapatan petani yang rendah menjadi hambatan terpenuhinya PPH secara ideal. Hal ini sejalan dengan hasil penelitian terdahulu bahwa pendapatan berpengaruh terhadap PPH </w:t>
      </w:r>
      <w:r w:rsidR="00B94BBB" w:rsidRPr="00CA6420">
        <w:rPr>
          <w:rFonts w:ascii="Arial" w:hAnsi="Arial" w:cs="Arial"/>
          <w:sz w:val="22"/>
          <w:szCs w:val="22"/>
          <w:lang w:val="sv-SE"/>
        </w:rPr>
        <w:fldChar w:fldCharType="begin" w:fldLock="1"/>
      </w:r>
      <w:r w:rsidR="00CA6420" w:rsidRPr="00CA6420">
        <w:rPr>
          <w:rFonts w:ascii="Arial" w:hAnsi="Arial" w:cs="Arial"/>
          <w:sz w:val="22"/>
          <w:szCs w:val="22"/>
          <w:lang w:val="sv-SE"/>
        </w:rPr>
        <w:instrText>ADDIN CSL_CITATION { "citationItems" : [ { "id" : "ITEM-1", "itemData" : { "DOI" : "10.33512/jat.v11i2.5091", "ISSN" : "1979-4991", "abstract" : "One way to know food self-sufficiency through the quality of food consumption diversity as measured by Food Harvest Scale (PPH) scores, hereinafter abbreviated as PPH. PPH can be used as a measure of nutritional balance and food diversity consumed by residents in a region. The maximum PPH score, 100 indicates the diverse food consumption situation and both the composition and quality of nutrition (Baliwati, 2011). In practice, the achievement of food quality and quantity indicator in Bandung Regency has not been achieved. This study aims to determine the size of family, education level, and income level of PPH in Bandung regency. The basic method of this research is the explanatory method (Eksplanatory Research). The determination of Paseh and Pasirjambu sub-districts was conducted by purposive sampling, which is determined by the highest and lowest kecamatan PPH. Furthermore the size of respondents using Slovin techniques. To know the factors that influence the PPH in Bandung regency using multiple regression analysis technique and the test is done by using SPSS 20 program. The result of the research shows that the family size, education level and income level have positive influence on PPH Kabupaten Bandung. This 126", "author" : [ { "dropping-particle" : "", "family" : "Argandi", "given" : "Syaeful", "non-dropping-particle" : "", "parse-names" : false, "suffix" : "" }, { "dropping-particle" : "", "family" : "Trimo", "given" : "Lucyana", "non-dropping-particle" : "", "parse-names" : false, "suffix" : "" }, { "dropping-particle" : "", "family" : "Noor", "given" : "Trisna Insan", "non-dropping-particle" : "", "parse-names" : false, "suffix" : "" } ], "container-title" : "Jurnal Agribisnis Terpadu", "id" : "ITEM-1", "issue" : "2", "issued" : { "date-parts" : [ [ "2018" ] ] }, "page" : "126", "title" : "Faktor\u2013Faktor Yang Mempengaruhi Pola Pangan Harapan (PPH) Di Kabupaten Bandung", "type" : "article-journal", "volume" : "11" }, "uris" : [ "http://www.mendeley.com/documents/?uuid=7052630f-2039-4ddf-b050-e7b20dd78099" ] } ], "mendeley" : { "formattedCitation" : "(Argandi et al., 2018)", "plainTextFormattedCitation" : "(Argandi et al., 2018)", "previouslyFormattedCitation" : "(Argandi et al., 2018)" }, "properties" : {  }, "schema" : "https://github.com/citation-style-language/schema/raw/master/csl-citation.json" }</w:instrText>
      </w:r>
      <w:r w:rsidR="00B94BBB" w:rsidRPr="00CA6420">
        <w:rPr>
          <w:rFonts w:ascii="Arial" w:hAnsi="Arial" w:cs="Arial"/>
          <w:sz w:val="22"/>
          <w:szCs w:val="22"/>
          <w:lang w:val="sv-SE"/>
        </w:rPr>
        <w:fldChar w:fldCharType="separate"/>
      </w:r>
      <w:r w:rsidR="00CA6420" w:rsidRPr="00CA6420">
        <w:rPr>
          <w:rFonts w:ascii="Arial" w:hAnsi="Arial" w:cs="Arial"/>
          <w:noProof/>
          <w:sz w:val="22"/>
          <w:szCs w:val="22"/>
          <w:lang w:val="sv-SE"/>
        </w:rPr>
        <w:t>(Argandi et al., 2018)</w:t>
      </w:r>
      <w:r w:rsidR="00B94BBB" w:rsidRPr="00CA6420">
        <w:rPr>
          <w:rFonts w:ascii="Arial" w:hAnsi="Arial" w:cs="Arial"/>
          <w:sz w:val="22"/>
          <w:szCs w:val="22"/>
          <w:lang w:val="sv-SE"/>
        </w:rPr>
        <w:fldChar w:fldCharType="end"/>
      </w:r>
      <w:r w:rsidR="00CA6420" w:rsidRPr="00CA6420">
        <w:rPr>
          <w:rFonts w:ascii="Arial" w:hAnsi="Arial" w:cs="Arial"/>
          <w:sz w:val="22"/>
          <w:szCs w:val="22"/>
          <w:lang w:val="sv-SE"/>
        </w:rPr>
        <w:t>.</w:t>
      </w:r>
      <w:r w:rsidR="00A01CE7">
        <w:rPr>
          <w:rFonts w:ascii="Arial" w:hAnsi="Arial" w:cs="Arial"/>
          <w:sz w:val="22"/>
          <w:szCs w:val="22"/>
          <w:lang w:val="sv-SE"/>
        </w:rPr>
        <w:t xml:space="preserve"> </w:t>
      </w:r>
      <w:r w:rsidR="00A01CE7">
        <w:rPr>
          <w:rFonts w:ascii="Arial" w:hAnsi="Arial" w:cs="Arial"/>
          <w:bCs/>
          <w:color w:val="000000"/>
          <w:sz w:val="22"/>
          <w:szCs w:val="22"/>
        </w:rPr>
        <w:t>Konsekuensinya adalah asupan gizi pada rumahtangga pendapatan rendah tidak memenuhi kriteria PPH. Fenomena asupan gizi rumah</w:t>
      </w:r>
      <w:r w:rsidR="00A01CE7" w:rsidRPr="00262488">
        <w:rPr>
          <w:rFonts w:ascii="Arial" w:hAnsi="Arial" w:cs="Arial"/>
          <w:bCs/>
          <w:sz w:val="22"/>
          <w:szCs w:val="22"/>
        </w:rPr>
        <w:t xml:space="preserve">tangga di pedesaan </w:t>
      </w:r>
      <w:r w:rsidR="00A01CE7">
        <w:rPr>
          <w:rFonts w:ascii="Arial" w:hAnsi="Arial" w:cs="Arial"/>
          <w:bCs/>
          <w:sz w:val="22"/>
          <w:szCs w:val="22"/>
        </w:rPr>
        <w:t>yang</w:t>
      </w:r>
      <w:r w:rsidR="00A01CE7" w:rsidRPr="00262488">
        <w:rPr>
          <w:rFonts w:ascii="Arial" w:hAnsi="Arial" w:cs="Arial"/>
          <w:bCs/>
          <w:sz w:val="22"/>
          <w:szCs w:val="22"/>
        </w:rPr>
        <w:t xml:space="preserve"> rentan </w:t>
      </w:r>
      <w:r w:rsidR="00A01CE7">
        <w:rPr>
          <w:rFonts w:ascii="Arial" w:hAnsi="Arial" w:cs="Arial"/>
          <w:bCs/>
          <w:sz w:val="22"/>
          <w:szCs w:val="22"/>
        </w:rPr>
        <w:t xml:space="preserve">juga ditemukan di </w:t>
      </w:r>
      <w:r w:rsidR="009B7DF8">
        <w:rPr>
          <w:rFonts w:ascii="Arial" w:hAnsi="Arial" w:cs="Arial"/>
          <w:bCs/>
          <w:sz w:val="22"/>
          <w:szCs w:val="22"/>
        </w:rPr>
        <w:t>berbagai tempat</w:t>
      </w:r>
      <w:r w:rsidR="00A01CE7" w:rsidRPr="00262488">
        <w:rPr>
          <w:rFonts w:ascii="Arial" w:hAnsi="Arial" w:cs="Arial"/>
          <w:bCs/>
          <w:sz w:val="22"/>
          <w:szCs w:val="22"/>
        </w:rPr>
        <w:t xml:space="preserve"> </w:t>
      </w:r>
      <w:r w:rsidR="009B7DF8">
        <w:rPr>
          <w:rFonts w:ascii="Arial" w:hAnsi="Arial" w:cs="Arial"/>
          <w:bCs/>
          <w:sz w:val="22"/>
          <w:szCs w:val="22"/>
        </w:rPr>
        <w:fldChar w:fldCharType="begin" w:fldLock="1"/>
      </w:r>
      <w:r w:rsidR="00F72955">
        <w:rPr>
          <w:rFonts w:ascii="Arial" w:hAnsi="Arial" w:cs="Arial"/>
          <w:bCs/>
          <w:sz w:val="22"/>
          <w:szCs w:val="22"/>
        </w:rPr>
        <w:instrText>ADDIN CSL_CITATION { "citationItems" : [ { "id" : "ITEM-1", "itemData" : { "DOI" : "10.1108/CAER-09-2013-0131", "author" : [ { "dropping-particle" : "", "family" : "Zhou", "given" : "Li", "non-dropping-particle" : "", "parse-names" : false, "suffix" : "" }, { "dropping-particle" : "", "family" : "Turvey", "given" : "Calum G", "non-dropping-particle" : "", "parse-names" : false, "suffix" : "" } ], "container-title" : "China Agricultural Economic", "id" : "ITEM-1", "issue" : "2", "issued" : { "date-parts" : [ [ "2015" ] ] }, "page" : "197-220", "title" : "Climate risk, income dynamics and nutrition intake in rural China", "type" : "article-journal", "volume" : "7" }, "uris" : [ "http://www.mendeley.com/documents/?uuid=14427426-1818-4fc7-a769-81f322559cf2" ] }, { "id" : "ITEM-2", "itemData" : { "DOI" : "10.1016/j.crm.2016.12.001", "ISSN" : "2212-0963", "author" : [ { "dropping-particle" : "", "family" : "Ali", "given" : "Akhter", "non-dropping-particle" : "", "parse-names" : false, "suffix" : "" }, { "dropping-particle" : "", "family" : "Erenstein", "given" : "Olaf", "non-dropping-particle" : "", "parse-names" : false, "suffix" : "" } ], "container-title" : "Climate Risk Management", "id" : "ITEM-2", "issued" : { "date-parts" : [ [ "2017" ] ] }, "page" : "183-194", "publisher" : "The Authors", "title" : "Assessing farmer use of climate change adaptation practices and impacts on food security and poverty in Pakistan", "type" : "article-journal", "volume" : "16" }, "uris" : [ "http://www.mendeley.com/documents/?uuid=d42c1dab-cce7-4b31-a475-c952c53ae7e9" ] }, { "id" : "ITEM-3", "itemData" : { "DOI" : "10.18488/journal.aefr.2020.1010.1062.1076", "ISSN" : "22226737", "abstract" : "This paper aims to analyze consumption patterns of various household goods. The data used in this study was sourced from results of household surveys in the East Java and Bali Provinces in Indonesia. The analytical model used to evaluate household consumption patterns was the Engel function. Engel's function model maps the level of consumption to household income. In this study, the explanatory variables used include household expenditure levels, household characteristics and household poverty conditions. The results showed that the consumption of staple foodstuffs was relatively inelastic in terms of an increasing household expenditure. Moreover, the consumption of processed food is relatively more elastic in terms of expenditure. The study also found that poor households have a different consumption pattern in comparison to non-poor households. Poor households allocate less income to basic necessities that are important for health, such as vegetables, meat and fish. The implication is that government assistance for poor households must be accompanied by education on healthy consumption patterns.", "author" : [ { "dropping-particle" : "", "family" : "Rasyid", "given" : "Mohtar", "non-dropping-particle" : "", "parse-names" : false, "suffix" : "" }, { "dropping-particle" : "", "family" : "Kristina", "given" : "Anita", "non-dropping-particle" : "", "parse-names" : false, "suffix" : "" }, { "dropping-particle" : "", "family" : "Sutikno", "given" : "", "non-dropping-particle" : "", "parse-names" : false, "suffix" : "" }, { "dropping-particle" : "", "family" : "Sunaryati", "given" : "", "non-dropping-particle" : "", "parse-names" : false, "suffix" : "" }, { "dropping-particle" : "", "family" : "Yuliani", "given" : "Tutik", "non-dropping-particle" : "", "parse-names" : false, "suffix" : "" } ], "container-title" : "Asian Economic and Financial Review", "id" : "ITEM-3", "issue" : "10", "issued" : { "date-parts" : [ [ "2020" ] ] }, "page" : "1062-1076", "title" : "Poverty Conditions and Patterns of Consumption: An Engel Function Analysis in East Java and Bali Indonesia", "type" : "article-journal", "volume" : "10" }, "uris" : [ "http://www.mendeley.com/documents/?uuid=ad4d3057-7ec5-4162-9b79-b8ac7934103f" ] } ], "mendeley" : { "formattedCitation" : "(Ali &amp; Erenstein, 2017; Rasyid et al., 2020; Zhou &amp; Turvey, 2015)", "plainTextFormattedCitation" : "(Ali &amp; Erenstein, 2017; Rasyid et al., 2020; Zhou &amp; Turvey, 2015)", "previouslyFormattedCitation" : "(Ali &amp; Erenstein, 2017; Rasyid et al., 2020; Zhou &amp; Turvey, 2015)" }, "properties" : {  }, "schema" : "https://github.com/citation-style-language/schema/raw/master/csl-citation.json" }</w:instrText>
      </w:r>
      <w:r w:rsidR="009B7DF8">
        <w:rPr>
          <w:rFonts w:ascii="Arial" w:hAnsi="Arial" w:cs="Arial"/>
          <w:bCs/>
          <w:sz w:val="22"/>
          <w:szCs w:val="22"/>
        </w:rPr>
        <w:fldChar w:fldCharType="separate"/>
      </w:r>
      <w:r w:rsidR="009B7DF8" w:rsidRPr="009B7DF8">
        <w:rPr>
          <w:rFonts w:ascii="Arial" w:hAnsi="Arial" w:cs="Arial"/>
          <w:bCs/>
          <w:noProof/>
          <w:sz w:val="22"/>
          <w:szCs w:val="22"/>
        </w:rPr>
        <w:t>(Ali &amp; Erenstein, 2017; Rasyid et al., 2020; Zhou &amp; Turvey, 2015)</w:t>
      </w:r>
      <w:r w:rsidR="009B7DF8">
        <w:rPr>
          <w:rFonts w:ascii="Arial" w:hAnsi="Arial" w:cs="Arial"/>
          <w:bCs/>
          <w:sz w:val="22"/>
          <w:szCs w:val="22"/>
        </w:rPr>
        <w:fldChar w:fldCharType="end"/>
      </w:r>
      <w:r w:rsidR="009B7DF8">
        <w:rPr>
          <w:rFonts w:ascii="Arial" w:hAnsi="Arial" w:cs="Arial"/>
          <w:bCs/>
          <w:sz w:val="22"/>
          <w:szCs w:val="22"/>
        </w:rPr>
        <w:t>.</w:t>
      </w:r>
    </w:p>
    <w:p w:rsidR="00B11273" w:rsidRPr="00FD5648" w:rsidRDefault="00DE77E9" w:rsidP="00B11273">
      <w:pPr>
        <w:spacing w:after="0" w:line="240" w:lineRule="auto"/>
        <w:ind w:firstLine="709"/>
        <w:jc w:val="both"/>
        <w:rPr>
          <w:rFonts w:ascii="Arial" w:hAnsi="Arial" w:cs="Arial"/>
          <w:lang w:val="sv-SE"/>
        </w:rPr>
      </w:pPr>
      <w:r>
        <w:rPr>
          <w:rFonts w:ascii="Arial" w:hAnsi="Arial" w:cs="Arial"/>
          <w:lang w:val="sv-SE"/>
        </w:rPr>
        <w:t xml:space="preserve">Indikator penelitian selanjutnya adalah belanja konsumsi pangan. </w:t>
      </w:r>
      <w:r w:rsidR="00B11273">
        <w:rPr>
          <w:rFonts w:ascii="Arial" w:hAnsi="Arial" w:cs="Arial"/>
          <w:lang w:val="sv-SE"/>
        </w:rPr>
        <w:t>Tabel 6 menyajikan alokasi belanja konsumsi pangan rumahtangga petani berdasarkan nilai belanja pangan selama satu minggu</w:t>
      </w:r>
      <w:r w:rsidR="00B11273" w:rsidRPr="00B11273">
        <w:rPr>
          <w:rFonts w:ascii="Arial" w:hAnsi="Arial" w:cs="Arial"/>
          <w:color w:val="FF0000"/>
          <w:lang w:val="sv-SE"/>
        </w:rPr>
        <w:t xml:space="preserve">. </w:t>
      </w:r>
      <w:r w:rsidR="00F43B97" w:rsidRPr="00BC6114">
        <w:rPr>
          <w:rFonts w:ascii="Arial" w:hAnsi="Arial" w:cs="Arial"/>
          <w:lang w:val="sv-SE"/>
        </w:rPr>
        <w:t>Alokasi belanja pangan pali</w:t>
      </w:r>
      <w:r w:rsidR="00F43B97">
        <w:rPr>
          <w:rFonts w:ascii="Arial" w:hAnsi="Arial" w:cs="Arial"/>
          <w:lang w:val="sv-SE"/>
        </w:rPr>
        <w:t>ng besar untuk membeli beras (26,2%) dan sumber protein hewani (16,3</w:t>
      </w:r>
      <w:r w:rsidR="00F43B97" w:rsidRPr="00BC6114">
        <w:rPr>
          <w:rFonts w:ascii="Arial" w:hAnsi="Arial" w:cs="Arial"/>
          <w:lang w:val="sv-SE"/>
        </w:rPr>
        <w:t>%).</w:t>
      </w:r>
      <w:r>
        <w:rPr>
          <w:rFonts w:ascii="Arial" w:hAnsi="Arial" w:cs="Arial"/>
          <w:lang w:val="sv-SE"/>
        </w:rPr>
        <w:t xml:space="preserve"> Urutan berikutnya alokasi belanja pangan adalah minyak goreng, gula, dan lauk pauk sumber protein nabati (tahu, tempe). </w:t>
      </w:r>
      <w:r w:rsidR="00516083">
        <w:rPr>
          <w:rFonts w:ascii="Arial" w:hAnsi="Arial" w:cs="Arial"/>
          <w:lang w:val="sv-SE"/>
        </w:rPr>
        <w:t xml:space="preserve">Belanja konsumsi bahan pangan lainnya dalam persentase relatif </w:t>
      </w:r>
      <w:r>
        <w:rPr>
          <w:rFonts w:ascii="Arial" w:hAnsi="Arial" w:cs="Arial"/>
          <w:lang w:val="sv-SE"/>
        </w:rPr>
        <w:t>l</w:t>
      </w:r>
      <w:r w:rsidR="00516083">
        <w:rPr>
          <w:rFonts w:ascii="Arial" w:hAnsi="Arial" w:cs="Arial"/>
          <w:lang w:val="sv-SE"/>
        </w:rPr>
        <w:t>ebih kecil dibandingkan beras dan pangan hewani</w:t>
      </w:r>
      <w:r>
        <w:rPr>
          <w:rFonts w:ascii="Arial" w:hAnsi="Arial" w:cs="Arial"/>
          <w:lang w:val="sv-SE"/>
        </w:rPr>
        <w:t>.</w:t>
      </w:r>
      <w:r w:rsidR="00E94E05">
        <w:rPr>
          <w:rFonts w:ascii="Arial" w:hAnsi="Arial" w:cs="Arial"/>
          <w:lang w:val="sv-SE"/>
        </w:rPr>
        <w:t xml:space="preserve"> Jika dilihat proporsinya, nilai total belanja pangan sudah mencapai 53,12% dari </w:t>
      </w:r>
      <w:r w:rsidR="00E94E05" w:rsidRPr="00FD5648">
        <w:rPr>
          <w:rFonts w:ascii="Arial" w:hAnsi="Arial" w:cs="Arial"/>
          <w:lang w:val="sv-SE"/>
        </w:rPr>
        <w:t>pendapatan petani per bulan.</w:t>
      </w:r>
    </w:p>
    <w:p w:rsidR="00E94E05" w:rsidRPr="00FD5648" w:rsidRDefault="00E94E05" w:rsidP="00E94E05">
      <w:pPr>
        <w:spacing w:after="0" w:line="240" w:lineRule="auto"/>
        <w:ind w:firstLine="709"/>
        <w:jc w:val="both"/>
        <w:rPr>
          <w:rFonts w:ascii="Arial" w:hAnsi="Arial" w:cs="Arial"/>
          <w:lang w:val="sv-SE"/>
        </w:rPr>
      </w:pPr>
      <w:r w:rsidRPr="00FD5648">
        <w:rPr>
          <w:rFonts w:ascii="Arial" w:hAnsi="Arial" w:cs="Arial"/>
          <w:lang w:val="sv-SE"/>
        </w:rPr>
        <w:t>Alokasi belanja pangan yang cukup dominan menunjukkan bahwa keluarga petani memprioritaskan kebutuhan primer seperti kebutuhan pangan</w:t>
      </w:r>
      <w:r w:rsidR="009F0F01" w:rsidRPr="00FD5648">
        <w:rPr>
          <w:rFonts w:ascii="Arial" w:hAnsi="Arial" w:cs="Arial"/>
          <w:lang w:val="sv-SE"/>
        </w:rPr>
        <w:t>. Kondisi ini juga sejalan dengan temuan pada berbagai penelitian terdahulu bahwa pemenuhan kebutuhan pangan sebagai prioritas utama</w:t>
      </w:r>
      <w:r w:rsidR="00FD5648" w:rsidRPr="00FD5648">
        <w:rPr>
          <w:rFonts w:ascii="Arial" w:hAnsi="Arial" w:cs="Arial"/>
          <w:lang w:val="sv-SE"/>
        </w:rPr>
        <w:t xml:space="preserve"> </w:t>
      </w:r>
      <w:r w:rsidR="00FD5648" w:rsidRPr="00FD5648">
        <w:rPr>
          <w:rFonts w:ascii="Arial" w:hAnsi="Arial" w:cs="Arial"/>
          <w:lang w:val="sv-SE"/>
        </w:rPr>
        <w:fldChar w:fldCharType="begin" w:fldLock="1"/>
      </w:r>
      <w:r w:rsidR="00F97365">
        <w:rPr>
          <w:rFonts w:ascii="Arial" w:hAnsi="Arial" w:cs="Arial"/>
          <w:lang w:val="sv-SE"/>
        </w:rPr>
        <w:instrText>ADDIN CSL_CITATION { "citationItems" : [ { "id" : "ITEM-1", "itemData" : { "DOI" : "10.1017/S1368980018000472", "ISSN" : "10601503", "PMID" : "29560852", "abstract" : "Objective Food insecurity is a potent determinant of health and indicator of material deprivation in many affluent countries. Food insecurity is associated with compromises in food and housing expenditures, but how it relates to other expenditures is unknown. The present study described households' resource allocation over a 12-month period by food insecurity status.Design Expenditure data from the 2010 Survey of Household Spending were aggregated into four categories (basic needs, other necessities, discretionary, investments/assets) and ten sub-categories (food, clothing, housing, transportation, household/personal care, health/education, leisure, miscellaneous, personal insurance/pension, durables/assets). A four-level food insecurity status was created using the adult-specific items of the Household Food Security Survey Module. Mean dollars spent and budget share by food insecurity status were estimated with generalized linear models adjusted first for household size and composition, and subsequently for after-tax income quartiles.Setting Canada.Subjects Population-based sample of households from the ten provinces (n 9050).Results Food-secure households had higher mean total expenditures than marginally, moderately and severely food-insecure households (P-trend &lt;0\u00b70001). As severity of food insecurity increased, households spent less on all categories and sub-categories, except transportation, but they allocated a larger budget share to basic needs and smaller shares to discretionary spending and investments/assets. The downward trends for dollars spent on basic needs and other necessities became non-significant after accounting for income, but the upward trend in the budget shares for basic needs persisted.Conclusions The spending patterns of food-insecure households suggest that they prioritized essential needs above all else.", "author" : [ { "dropping-particle" : "", "family" : "Fafard St-Germain", "given" : "Andr\u00e9e Anne", "non-dropping-particle" : "", "parse-names" : false, "suffix" : "" }, { "dropping-particle" : "", "family" : "Tarasuk", "given" : "Valerie", "non-dropping-particle" : "", "parse-names" : false, "suffix" : "" } ], "container-title" : "Victorian Literature and Culture", "id" : "ITEM-1", "issue" : "11", "issued" : { "date-parts" : [ [ "2018" ] ] }, "page" : "2065-2078", "title" : "Prioritization of the essentials in the spending patterns of canadian households experiencing food insecurity", "type" : "article-journal", "volume" : "21" }, "uris" : [ "http://www.mendeley.com/documents/?uuid=87080011-d207-4467-9ea5-6804d933ebbc" ] }, { "id" : "ITEM-2", "itemData" : { "DOI" : "10.1111/joca.12273", "ISSN" : "17456606", "abstract" : "This study examined the budget allocation patterns of U.S. households during the period 2000\u20132015. Four household groups\u2014classified based on their income levels in relation to the federal poverty level\u2014are used for the analyses. Data from the quarterly interview component of the BLS Consumer Expenditure Survey were used in order to calculate households' annual expenditures in eight commodity groups: food, utilities, apparel and apparel services, transportation, medical care, shelter and household operations, other nondurable expenditures and services, and durable goods. An exact affine stone index (EASI) demand system was used to estimate demand relationships (i.e., price, income elasticities, and marginal effects). Overall, we find that budget allocation, consumers' responses to changes in prices and income, and the effects of sociodemographic characteristics on spending can be markedly different between income groups. The use of a representative or average household for demand analyses can mask substantial differences in economic behaviors between these four income groups.", "author" : [ { "dropping-particle" : "", "family" : "Boonsaeng", "given" : "Tullaya", "non-dropping-particle" : "", "parse-names" : false, "suffix" : "" }, { "dropping-particle" : "", "family" : "Carpio", "given" : "Carlos E.", "non-dropping-particle" : "", "parse-names" : false, "suffix" : "" } ], "container-title" : "Journal of Consumer Affairs", "id" : "ITEM-2", "issue" : "1", "issued" : { "date-parts" : [ [ "2019" ] ] }, "page" : "342-387", "title" : "Budget Allocation Patterns of U.S. Households across Income Levels in the 21st Century", "type" : "article-journal", "volume" : "54" }, "uris" : [ "http://www.mendeley.com/documents/?uuid=541307e7-37bf-4704-9838-b9039682b673" ] }, { "id" : "ITEM-3", "itemData" : { "DOI" : "10.3934/agrfood.2020.1.30", "ISSN" : "24712086", "abstract" : "Dryland farmer households in food-insecure areas are faced with an unfavorable situation infertile agricultural land, low rainfall, lack of production activity and very limited infrastructure. On the other hand, their needs for food consumption must be fulfilled for a healthy, productive and sustainable life. The purpose of this study is to determine the ability of farmer households to achieve food security in food-insecure areas. This study uses primary data obtained from dryland farmer households by snowball sampling. The ability of dryland farmer households in terms of food availability, access to food, food utilization, energy adequacy rate, protein adequacy rate, the ratio of food expenditure and total expenditure. The households commonly consume local food with the amount of energy and protein sufficiency less than the recommended amount. The food consumption adaptation strategy is applied during the off-season and/or when food stock is running low.", "author" : [ { "dropping-particle" : "", "family" : "Riptanti", "given" : "Erlyna Wida", "non-dropping-particle" : "", "parse-names" : false, "suffix" : "" }, { "dropping-particle" : "", "family" : "Masyhuri", "given" : "Masyhuri", "non-dropping-particle" : "", "parse-names" : false, "suffix" : "" }, { "dropping-particle" : "", "family" : "Irham", "given" : "Irham", "non-dropping-particle" : "", "parse-names" : false, "suffix" : "" }, { "dropping-particle" : "", "family" : "Suryantini", "given" : "Any", "non-dropping-particle" : "", "parse-names" : false, "suffix" : "" } ], "container-title" : "AIMS Agriculture and Food", "id" : "ITEM-3", "issue" : "1", "issued" : { "date-parts" : [ [ "2020" ] ] }, "page" : "30-45", "title" : "The ability of dryland farmer households in achieving food security in food-insecure area of East Nusa Tenggara, Indonesia", "type" : "article-journal", "volume" : "5" }, "uris" : [ "http://www.mendeley.com/documents/?uuid=cb45b533-87ad-4d90-b70e-7dfb39670edf" ] } ], "mendeley" : { "formattedCitation" : "(Boonsaeng &amp; Carpio, 2019; Fafard St-Germain &amp; Tarasuk, 2018; Riptanti et al., 2020)", "plainTextFormattedCitation" : "(Boonsaeng &amp; Carpio, 2019; Fafard St-Germain &amp; Tarasuk, 2018; Riptanti et al., 2020)", "previouslyFormattedCitation" : "(Boonsaeng &amp; Carpio, 2019; Fafard St-Germain &amp; Tarasuk, 2018; Riptanti et al., 2020)" }, "properties" : {  }, "schema" : "https://github.com/citation-style-language/schema/raw/master/csl-citation.json" }</w:instrText>
      </w:r>
      <w:r w:rsidR="00FD5648" w:rsidRPr="00FD5648">
        <w:rPr>
          <w:rFonts w:ascii="Arial" w:hAnsi="Arial" w:cs="Arial"/>
          <w:lang w:val="sv-SE"/>
        </w:rPr>
        <w:fldChar w:fldCharType="separate"/>
      </w:r>
      <w:r w:rsidR="00FD5648" w:rsidRPr="00FD5648">
        <w:rPr>
          <w:rFonts w:ascii="Arial" w:hAnsi="Arial" w:cs="Arial"/>
          <w:noProof/>
          <w:lang w:val="sv-SE"/>
        </w:rPr>
        <w:t>(Boonsaeng &amp; Carpio, 2019; Fafard St-Germain &amp; Tarasuk, 2018; Riptanti et al., 2020)</w:t>
      </w:r>
      <w:r w:rsidR="00FD5648" w:rsidRPr="00FD5648">
        <w:rPr>
          <w:rFonts w:ascii="Arial" w:hAnsi="Arial" w:cs="Arial"/>
          <w:lang w:val="sv-SE"/>
        </w:rPr>
        <w:fldChar w:fldCharType="end"/>
      </w:r>
      <w:r w:rsidRPr="00FD5648">
        <w:rPr>
          <w:rFonts w:ascii="Arial" w:hAnsi="Arial" w:cs="Arial"/>
          <w:lang w:val="sv-SE"/>
        </w:rPr>
        <w:t>.</w:t>
      </w:r>
    </w:p>
    <w:p w:rsidR="009F0F01" w:rsidRDefault="009F0F01" w:rsidP="009F0F01">
      <w:pPr>
        <w:spacing w:after="0" w:line="240" w:lineRule="auto"/>
        <w:jc w:val="center"/>
        <w:rPr>
          <w:rFonts w:ascii="Arial" w:hAnsi="Arial" w:cs="Arial"/>
          <w:b/>
          <w:lang w:val="en-US"/>
        </w:rPr>
      </w:pPr>
    </w:p>
    <w:p w:rsidR="00961DF8" w:rsidRPr="004F445E" w:rsidRDefault="004F445E" w:rsidP="009F0F01">
      <w:pPr>
        <w:spacing w:after="0" w:line="240" w:lineRule="auto"/>
        <w:jc w:val="center"/>
        <w:rPr>
          <w:rFonts w:ascii="Arial" w:hAnsi="Arial" w:cs="Arial"/>
          <w:b/>
          <w:lang w:val="en-US"/>
        </w:rPr>
      </w:pPr>
      <w:r>
        <w:rPr>
          <w:rFonts w:ascii="Arial" w:hAnsi="Arial" w:cs="Arial"/>
          <w:b/>
        </w:rPr>
        <w:t xml:space="preserve">Tabel </w:t>
      </w:r>
      <w:r>
        <w:rPr>
          <w:rFonts w:ascii="Arial" w:hAnsi="Arial" w:cs="Arial"/>
          <w:b/>
          <w:lang w:val="en-US"/>
        </w:rPr>
        <w:t>6</w:t>
      </w:r>
    </w:p>
    <w:p w:rsidR="00961DF8" w:rsidRDefault="00961DF8" w:rsidP="00961DF8">
      <w:pPr>
        <w:spacing w:after="0"/>
        <w:jc w:val="center"/>
        <w:rPr>
          <w:rFonts w:ascii="Arial" w:hAnsi="Arial" w:cs="Arial"/>
          <w:b/>
        </w:rPr>
      </w:pPr>
      <w:r w:rsidRPr="00575F69">
        <w:rPr>
          <w:rFonts w:ascii="Arial" w:hAnsi="Arial" w:cs="Arial"/>
          <w:b/>
        </w:rPr>
        <w:t>Alokasi Belanja Konsumsi Pangan Rumahtangga Petani</w:t>
      </w:r>
    </w:p>
    <w:tbl>
      <w:tblPr>
        <w:tblStyle w:val="TableGrid"/>
        <w:tblW w:w="0" w:type="auto"/>
        <w:tblLook w:val="04A0"/>
      </w:tblPr>
      <w:tblGrid>
        <w:gridCol w:w="1630"/>
        <w:gridCol w:w="1631"/>
        <w:gridCol w:w="1631"/>
        <w:gridCol w:w="1631"/>
        <w:gridCol w:w="1631"/>
      </w:tblGrid>
      <w:tr w:rsidR="00961DF8" w:rsidRPr="004A65AB" w:rsidTr="00F240FB">
        <w:tc>
          <w:tcPr>
            <w:tcW w:w="1630" w:type="dxa"/>
          </w:tcPr>
          <w:p w:rsidR="00961DF8" w:rsidRPr="004A65AB" w:rsidRDefault="00961DF8" w:rsidP="00F240FB">
            <w:pPr>
              <w:spacing w:after="0" w:line="240" w:lineRule="auto"/>
              <w:jc w:val="center"/>
              <w:rPr>
                <w:rFonts w:ascii="Arial" w:eastAsia="Times New Roman" w:hAnsi="Arial" w:cs="Arial"/>
                <w:sz w:val="20"/>
                <w:szCs w:val="20"/>
              </w:rPr>
            </w:pPr>
            <w:r w:rsidRPr="004A65AB">
              <w:rPr>
                <w:rFonts w:ascii="Arial" w:eastAsia="Times New Roman" w:hAnsi="Arial" w:cs="Arial"/>
                <w:color w:val="000000"/>
                <w:sz w:val="20"/>
                <w:szCs w:val="20"/>
              </w:rPr>
              <w:t>Jenis pangan</w:t>
            </w:r>
          </w:p>
        </w:tc>
        <w:tc>
          <w:tcPr>
            <w:tcW w:w="1631" w:type="dxa"/>
          </w:tcPr>
          <w:p w:rsidR="00961DF8" w:rsidRPr="004A65AB" w:rsidRDefault="00961DF8" w:rsidP="00F240FB">
            <w:pPr>
              <w:spacing w:after="0" w:line="240" w:lineRule="auto"/>
              <w:jc w:val="center"/>
              <w:rPr>
                <w:rFonts w:ascii="Arial" w:eastAsia="Times New Roman" w:hAnsi="Arial" w:cs="Arial"/>
                <w:color w:val="000000"/>
                <w:sz w:val="20"/>
                <w:szCs w:val="20"/>
              </w:rPr>
            </w:pPr>
            <w:r w:rsidRPr="004A65AB">
              <w:rPr>
                <w:rFonts w:ascii="Arial" w:eastAsia="Times New Roman" w:hAnsi="Arial" w:cs="Arial"/>
                <w:color w:val="000000"/>
                <w:sz w:val="20"/>
                <w:szCs w:val="20"/>
              </w:rPr>
              <w:t>Jumlah satuan</w:t>
            </w:r>
          </w:p>
        </w:tc>
        <w:tc>
          <w:tcPr>
            <w:tcW w:w="1631" w:type="dxa"/>
          </w:tcPr>
          <w:p w:rsidR="00961DF8" w:rsidRPr="00F43B97" w:rsidRDefault="00961DF8" w:rsidP="00F240FB">
            <w:pPr>
              <w:spacing w:after="0" w:line="240" w:lineRule="auto"/>
              <w:jc w:val="center"/>
              <w:rPr>
                <w:rFonts w:ascii="Arial" w:eastAsia="Times New Roman" w:hAnsi="Arial" w:cs="Arial"/>
                <w:color w:val="000000"/>
                <w:sz w:val="20"/>
                <w:szCs w:val="20"/>
                <w:lang w:val="en-US"/>
              </w:rPr>
            </w:pPr>
            <w:r w:rsidRPr="004A65AB">
              <w:rPr>
                <w:rFonts w:ascii="Arial" w:eastAsia="Times New Roman" w:hAnsi="Arial" w:cs="Arial"/>
                <w:color w:val="000000"/>
                <w:sz w:val="20"/>
                <w:szCs w:val="20"/>
              </w:rPr>
              <w:t>Rata2 seminggu</w:t>
            </w:r>
            <w:r w:rsidR="00F43B97">
              <w:rPr>
                <w:rFonts w:ascii="Arial" w:eastAsia="Times New Roman" w:hAnsi="Arial" w:cs="Arial"/>
                <w:color w:val="000000"/>
                <w:sz w:val="20"/>
                <w:szCs w:val="20"/>
                <w:lang w:val="en-US"/>
              </w:rPr>
              <w:t xml:space="preserve"> (Rp)</w:t>
            </w:r>
          </w:p>
        </w:tc>
        <w:tc>
          <w:tcPr>
            <w:tcW w:w="1631" w:type="dxa"/>
          </w:tcPr>
          <w:p w:rsidR="00961DF8" w:rsidRPr="00F43B97" w:rsidRDefault="00961DF8" w:rsidP="00F240FB">
            <w:pPr>
              <w:spacing w:after="0" w:line="240" w:lineRule="auto"/>
              <w:jc w:val="center"/>
              <w:rPr>
                <w:rFonts w:ascii="Arial" w:eastAsia="Times New Roman" w:hAnsi="Arial" w:cs="Arial"/>
                <w:color w:val="000000"/>
                <w:sz w:val="20"/>
                <w:szCs w:val="20"/>
                <w:lang w:val="en-US"/>
              </w:rPr>
            </w:pPr>
            <w:r w:rsidRPr="004A65AB">
              <w:rPr>
                <w:rFonts w:ascii="Arial" w:eastAsia="Times New Roman" w:hAnsi="Arial" w:cs="Arial"/>
                <w:color w:val="000000"/>
                <w:sz w:val="20"/>
                <w:szCs w:val="20"/>
              </w:rPr>
              <w:t>Rata2 sebulan</w:t>
            </w:r>
            <w:r w:rsidR="00F43B97">
              <w:rPr>
                <w:rFonts w:ascii="Arial" w:eastAsia="Times New Roman" w:hAnsi="Arial" w:cs="Arial"/>
                <w:color w:val="000000"/>
                <w:sz w:val="20"/>
                <w:szCs w:val="20"/>
                <w:lang w:val="en-US"/>
              </w:rPr>
              <w:t xml:space="preserve"> (Rp)</w:t>
            </w:r>
          </w:p>
        </w:tc>
        <w:tc>
          <w:tcPr>
            <w:tcW w:w="1631" w:type="dxa"/>
          </w:tcPr>
          <w:p w:rsidR="00961DF8" w:rsidRPr="004A65AB" w:rsidRDefault="00961DF8" w:rsidP="00F240FB">
            <w:pPr>
              <w:spacing w:after="0" w:line="240" w:lineRule="auto"/>
              <w:jc w:val="center"/>
              <w:rPr>
                <w:rFonts w:ascii="Arial" w:eastAsia="Times New Roman" w:hAnsi="Arial" w:cs="Arial"/>
                <w:color w:val="000000"/>
                <w:sz w:val="20"/>
                <w:szCs w:val="20"/>
              </w:rPr>
            </w:pPr>
            <w:r w:rsidRPr="004A65AB">
              <w:rPr>
                <w:rFonts w:ascii="Arial" w:eastAsia="Times New Roman" w:hAnsi="Arial" w:cs="Arial"/>
                <w:color w:val="000000"/>
                <w:sz w:val="20"/>
                <w:szCs w:val="20"/>
              </w:rPr>
              <w:t>%</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sz w:val="20"/>
                <w:szCs w:val="20"/>
              </w:rPr>
            </w:pPr>
            <w:r w:rsidRPr="004A65AB">
              <w:rPr>
                <w:rFonts w:ascii="Arial" w:eastAsia="Times New Roman" w:hAnsi="Arial" w:cs="Arial"/>
                <w:sz w:val="20"/>
                <w:szCs w:val="20"/>
              </w:rPr>
              <w:t>Beras</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lang w:val="en-US"/>
              </w:rPr>
              <w:t>,</w:t>
            </w:r>
            <w:r w:rsidR="00F240FB" w:rsidRPr="004A65AB">
              <w:rPr>
                <w:rFonts w:ascii="Arial" w:hAnsi="Arial" w:cs="Arial"/>
                <w:color w:val="000000"/>
                <w:sz w:val="20"/>
                <w:szCs w:val="20"/>
              </w:rPr>
              <w:t>39</w:t>
            </w:r>
          </w:p>
        </w:tc>
        <w:tc>
          <w:tcPr>
            <w:tcW w:w="1631" w:type="dxa"/>
          </w:tcPr>
          <w:p w:rsidR="00F240FB" w:rsidRPr="004A65AB" w:rsidRDefault="00F240FB" w:rsidP="00F240FB">
            <w:pPr>
              <w:spacing w:after="0" w:line="240" w:lineRule="auto"/>
              <w:jc w:val="center"/>
              <w:rPr>
                <w:rFonts w:ascii="Arial" w:hAnsi="Arial" w:cs="Arial"/>
                <w:color w:val="000000"/>
                <w:sz w:val="20"/>
                <w:szCs w:val="20"/>
              </w:rPr>
            </w:pPr>
            <w:r w:rsidRPr="004A65AB">
              <w:rPr>
                <w:rFonts w:ascii="Arial" w:hAnsi="Arial" w:cs="Arial"/>
                <w:color w:val="000000"/>
                <w:sz w:val="20"/>
                <w:szCs w:val="20"/>
              </w:rPr>
              <w:t>4</w:t>
            </w:r>
            <w:r w:rsidR="00A34BD8">
              <w:rPr>
                <w:rFonts w:ascii="Arial" w:hAnsi="Arial" w:cs="Arial"/>
                <w:color w:val="000000"/>
                <w:sz w:val="20"/>
                <w:szCs w:val="20"/>
              </w:rPr>
              <w:t>8</w:t>
            </w:r>
            <w:r w:rsidR="00A34BD8">
              <w:rPr>
                <w:rFonts w:ascii="Arial" w:hAnsi="Arial" w:cs="Arial"/>
                <w:color w:val="000000"/>
                <w:sz w:val="20"/>
                <w:szCs w:val="20"/>
                <w:lang w:val="en-US"/>
              </w:rPr>
              <w:t>.</w:t>
            </w:r>
            <w:r w:rsidRPr="004A65AB">
              <w:rPr>
                <w:rFonts w:ascii="Arial" w:hAnsi="Arial" w:cs="Arial"/>
                <w:color w:val="000000"/>
                <w:sz w:val="20"/>
                <w:szCs w:val="20"/>
              </w:rPr>
              <w:t>336</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193</w:t>
            </w:r>
            <w:r>
              <w:rPr>
                <w:rFonts w:ascii="Arial" w:hAnsi="Arial" w:cs="Arial"/>
                <w:color w:val="000000"/>
                <w:sz w:val="20"/>
                <w:szCs w:val="20"/>
                <w:lang w:val="en-US"/>
              </w:rPr>
              <w:t>.</w:t>
            </w:r>
            <w:r w:rsidR="00F240FB" w:rsidRPr="004A65AB">
              <w:rPr>
                <w:rFonts w:ascii="Arial" w:hAnsi="Arial" w:cs="Arial"/>
                <w:color w:val="000000"/>
                <w:sz w:val="20"/>
                <w:szCs w:val="20"/>
              </w:rPr>
              <w:t>344</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26</w:t>
            </w:r>
            <w:r>
              <w:rPr>
                <w:rFonts w:ascii="Arial" w:hAnsi="Arial" w:cs="Arial"/>
                <w:color w:val="000000"/>
                <w:sz w:val="20"/>
                <w:szCs w:val="20"/>
                <w:lang w:val="en-US"/>
              </w:rPr>
              <w:t>.</w:t>
            </w:r>
            <w:r w:rsidR="00F240FB" w:rsidRPr="004A65AB">
              <w:rPr>
                <w:rFonts w:ascii="Arial" w:hAnsi="Arial" w:cs="Arial"/>
                <w:color w:val="000000"/>
                <w:sz w:val="20"/>
                <w:szCs w:val="20"/>
              </w:rPr>
              <w:t>2</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sz w:val="20"/>
                <w:szCs w:val="20"/>
              </w:rPr>
            </w:pPr>
            <w:r w:rsidRPr="004A65AB">
              <w:rPr>
                <w:rFonts w:ascii="Arial" w:eastAsia="Times New Roman" w:hAnsi="Arial" w:cs="Arial"/>
                <w:sz w:val="20"/>
                <w:szCs w:val="20"/>
              </w:rPr>
              <w:t>Palawija</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0</w:t>
            </w:r>
            <w:r>
              <w:rPr>
                <w:rFonts w:ascii="Arial" w:hAnsi="Arial" w:cs="Arial"/>
                <w:color w:val="000000"/>
                <w:sz w:val="20"/>
                <w:szCs w:val="20"/>
                <w:lang w:val="en-US"/>
              </w:rPr>
              <w:t>,</w:t>
            </w:r>
            <w:r w:rsidR="00F240FB" w:rsidRPr="004A65AB">
              <w:rPr>
                <w:rFonts w:ascii="Arial" w:hAnsi="Arial" w:cs="Arial"/>
                <w:color w:val="000000"/>
                <w:sz w:val="20"/>
                <w:szCs w:val="20"/>
              </w:rPr>
              <w:t>54</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lang w:val="en-US"/>
              </w:rPr>
              <w:t>.</w:t>
            </w:r>
            <w:r w:rsidR="00F240FB" w:rsidRPr="004A65AB">
              <w:rPr>
                <w:rFonts w:ascii="Arial" w:hAnsi="Arial" w:cs="Arial"/>
                <w:color w:val="000000"/>
                <w:sz w:val="20"/>
                <w:szCs w:val="20"/>
              </w:rPr>
              <w:t>500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14</w:t>
            </w:r>
            <w:r>
              <w:rPr>
                <w:rFonts w:ascii="Arial" w:hAnsi="Arial" w:cs="Arial"/>
                <w:color w:val="000000"/>
                <w:sz w:val="20"/>
                <w:szCs w:val="20"/>
                <w:lang w:val="en-US"/>
              </w:rPr>
              <w:t>.</w:t>
            </w:r>
            <w:r w:rsidR="00F240FB" w:rsidRPr="004A65AB">
              <w:rPr>
                <w:rFonts w:ascii="Arial" w:hAnsi="Arial" w:cs="Arial"/>
                <w:color w:val="000000"/>
                <w:sz w:val="20"/>
                <w:szCs w:val="20"/>
              </w:rPr>
              <w:t>000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9</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sz w:val="20"/>
                <w:szCs w:val="20"/>
              </w:rPr>
            </w:pPr>
            <w:r w:rsidRPr="004A65AB">
              <w:rPr>
                <w:rFonts w:ascii="Arial" w:eastAsia="Times New Roman" w:hAnsi="Arial" w:cs="Arial"/>
                <w:sz w:val="20"/>
                <w:szCs w:val="20"/>
              </w:rPr>
              <w:t>Karbohidrat lain</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lang w:val="en-US"/>
              </w:rPr>
              <w:t>,</w:t>
            </w:r>
            <w:r w:rsidR="00F240FB" w:rsidRPr="004A65AB">
              <w:rPr>
                <w:rFonts w:ascii="Arial" w:hAnsi="Arial" w:cs="Arial"/>
                <w:color w:val="000000"/>
                <w:sz w:val="20"/>
                <w:szCs w:val="20"/>
              </w:rPr>
              <w:t>63</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lang w:val="en-US"/>
              </w:rPr>
              <w:t>.</w:t>
            </w:r>
            <w:r w:rsidR="00F240FB" w:rsidRPr="004A65AB">
              <w:rPr>
                <w:rFonts w:ascii="Arial" w:hAnsi="Arial" w:cs="Arial"/>
                <w:color w:val="000000"/>
                <w:sz w:val="20"/>
                <w:szCs w:val="20"/>
              </w:rPr>
              <w:t>296</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37</w:t>
            </w:r>
            <w:r>
              <w:rPr>
                <w:rFonts w:ascii="Arial" w:hAnsi="Arial" w:cs="Arial"/>
                <w:color w:val="000000"/>
                <w:sz w:val="20"/>
                <w:szCs w:val="20"/>
                <w:lang w:val="en-US"/>
              </w:rPr>
              <w:t>.</w:t>
            </w:r>
            <w:r w:rsidR="00F240FB" w:rsidRPr="004A65AB">
              <w:rPr>
                <w:rFonts w:ascii="Arial" w:hAnsi="Arial" w:cs="Arial"/>
                <w:color w:val="000000"/>
                <w:sz w:val="20"/>
                <w:szCs w:val="20"/>
              </w:rPr>
              <w:t>184</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lang w:val="en-US"/>
              </w:rPr>
              <w:t>.</w:t>
            </w:r>
            <w:r w:rsidR="00F240FB" w:rsidRPr="004A65AB">
              <w:rPr>
                <w:rFonts w:ascii="Arial" w:hAnsi="Arial" w:cs="Arial"/>
                <w:color w:val="000000"/>
                <w:sz w:val="20"/>
                <w:szCs w:val="20"/>
              </w:rPr>
              <w:t>0</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Protein hewani</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41</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30</w:t>
            </w:r>
            <w:r>
              <w:rPr>
                <w:rFonts w:ascii="Arial" w:hAnsi="Arial" w:cs="Arial"/>
                <w:color w:val="000000"/>
                <w:sz w:val="20"/>
                <w:szCs w:val="20"/>
                <w:lang w:val="en-US"/>
              </w:rPr>
              <w:t>.</w:t>
            </w:r>
            <w:r w:rsidR="00F240FB" w:rsidRPr="004A65AB">
              <w:rPr>
                <w:rFonts w:ascii="Arial" w:hAnsi="Arial" w:cs="Arial"/>
                <w:color w:val="000000"/>
                <w:sz w:val="20"/>
                <w:szCs w:val="20"/>
              </w:rPr>
              <w:t>121</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120</w:t>
            </w:r>
            <w:r>
              <w:rPr>
                <w:rFonts w:ascii="Arial" w:hAnsi="Arial" w:cs="Arial"/>
                <w:color w:val="000000"/>
                <w:sz w:val="20"/>
                <w:szCs w:val="20"/>
                <w:lang w:val="en-US"/>
              </w:rPr>
              <w:t>.</w:t>
            </w:r>
            <w:r w:rsidR="00F240FB" w:rsidRPr="004A65AB">
              <w:rPr>
                <w:rFonts w:ascii="Arial" w:hAnsi="Arial" w:cs="Arial"/>
                <w:color w:val="000000"/>
                <w:sz w:val="20"/>
                <w:szCs w:val="20"/>
              </w:rPr>
              <w:t>484</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16</w:t>
            </w:r>
            <w:r>
              <w:rPr>
                <w:rFonts w:ascii="Arial" w:hAnsi="Arial" w:cs="Arial"/>
                <w:color w:val="000000"/>
                <w:sz w:val="20"/>
                <w:szCs w:val="20"/>
                <w:lang w:val="en-US"/>
              </w:rPr>
              <w:t>.</w:t>
            </w:r>
            <w:r w:rsidR="00F240FB" w:rsidRPr="004A65AB">
              <w:rPr>
                <w:rFonts w:ascii="Arial" w:hAnsi="Arial" w:cs="Arial"/>
                <w:color w:val="000000"/>
                <w:sz w:val="20"/>
                <w:szCs w:val="20"/>
              </w:rPr>
              <w:t>3</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Protein nabati</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lang w:val="en-US"/>
              </w:rPr>
              <w:t>,</w:t>
            </w:r>
            <w:r w:rsidR="00F240FB" w:rsidRPr="004A65AB">
              <w:rPr>
                <w:rFonts w:ascii="Arial" w:hAnsi="Arial" w:cs="Arial"/>
                <w:color w:val="000000"/>
                <w:sz w:val="20"/>
                <w:szCs w:val="20"/>
              </w:rPr>
              <w:t>37</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12</w:t>
            </w:r>
            <w:r>
              <w:rPr>
                <w:rFonts w:ascii="Arial" w:hAnsi="Arial" w:cs="Arial"/>
                <w:color w:val="000000"/>
                <w:sz w:val="20"/>
                <w:szCs w:val="20"/>
                <w:lang w:val="en-US"/>
              </w:rPr>
              <w:t>.</w:t>
            </w:r>
            <w:r w:rsidR="00F240FB" w:rsidRPr="004A65AB">
              <w:rPr>
                <w:rFonts w:ascii="Arial" w:hAnsi="Arial" w:cs="Arial"/>
                <w:color w:val="000000"/>
                <w:sz w:val="20"/>
                <w:szCs w:val="20"/>
              </w:rPr>
              <w:t>308</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49</w:t>
            </w:r>
            <w:r>
              <w:rPr>
                <w:rFonts w:ascii="Arial" w:hAnsi="Arial" w:cs="Arial"/>
                <w:color w:val="000000"/>
                <w:sz w:val="20"/>
                <w:szCs w:val="20"/>
                <w:lang w:val="en-US"/>
              </w:rPr>
              <w:t>.</w:t>
            </w:r>
            <w:r w:rsidR="00F240FB" w:rsidRPr="004A65AB">
              <w:rPr>
                <w:rFonts w:ascii="Arial" w:hAnsi="Arial" w:cs="Arial"/>
                <w:color w:val="000000"/>
                <w:sz w:val="20"/>
                <w:szCs w:val="20"/>
              </w:rPr>
              <w:t>230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6</w:t>
            </w:r>
            <w:r>
              <w:rPr>
                <w:rFonts w:ascii="Arial" w:hAnsi="Arial" w:cs="Arial"/>
                <w:color w:val="000000"/>
                <w:sz w:val="20"/>
                <w:szCs w:val="20"/>
                <w:lang w:val="en-US"/>
              </w:rPr>
              <w:t>.</w:t>
            </w:r>
            <w:r w:rsidR="00F240FB" w:rsidRPr="004A65AB">
              <w:rPr>
                <w:rFonts w:ascii="Arial" w:hAnsi="Arial" w:cs="Arial"/>
                <w:color w:val="000000"/>
                <w:sz w:val="20"/>
                <w:szCs w:val="20"/>
              </w:rPr>
              <w:t>7</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Sayuran</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lang w:val="en-US"/>
              </w:rPr>
              <w:t>,</w:t>
            </w:r>
            <w:r w:rsidR="00F240FB" w:rsidRPr="004A65AB">
              <w:rPr>
                <w:rFonts w:ascii="Arial" w:hAnsi="Arial" w:cs="Arial"/>
                <w:color w:val="000000"/>
                <w:sz w:val="20"/>
                <w:szCs w:val="20"/>
              </w:rPr>
              <w:t>51</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11</w:t>
            </w:r>
            <w:r>
              <w:rPr>
                <w:rFonts w:ascii="Arial" w:hAnsi="Arial" w:cs="Arial"/>
                <w:color w:val="000000"/>
                <w:sz w:val="20"/>
                <w:szCs w:val="20"/>
                <w:lang w:val="en-US"/>
              </w:rPr>
              <w:t>.</w:t>
            </w:r>
            <w:r w:rsidR="00F240FB" w:rsidRPr="004A65AB">
              <w:rPr>
                <w:rFonts w:ascii="Arial" w:hAnsi="Arial" w:cs="Arial"/>
                <w:color w:val="000000"/>
                <w:sz w:val="20"/>
                <w:szCs w:val="20"/>
              </w:rPr>
              <w:t>010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44</w:t>
            </w:r>
            <w:r>
              <w:rPr>
                <w:rFonts w:ascii="Arial" w:hAnsi="Arial" w:cs="Arial"/>
                <w:color w:val="000000"/>
                <w:sz w:val="20"/>
                <w:szCs w:val="20"/>
                <w:lang w:val="en-US"/>
              </w:rPr>
              <w:t>.</w:t>
            </w:r>
            <w:r w:rsidR="00F240FB" w:rsidRPr="004A65AB">
              <w:rPr>
                <w:rFonts w:ascii="Arial" w:hAnsi="Arial" w:cs="Arial"/>
                <w:color w:val="000000"/>
                <w:sz w:val="20"/>
                <w:szCs w:val="20"/>
              </w:rPr>
              <w:t>041</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6</w:t>
            </w:r>
            <w:r>
              <w:rPr>
                <w:rFonts w:ascii="Arial" w:hAnsi="Arial" w:cs="Arial"/>
                <w:color w:val="000000"/>
                <w:sz w:val="20"/>
                <w:szCs w:val="20"/>
                <w:lang w:val="en-US"/>
              </w:rPr>
              <w:t>.</w:t>
            </w:r>
            <w:r w:rsidR="00F240FB" w:rsidRPr="004A65AB">
              <w:rPr>
                <w:rFonts w:ascii="Arial" w:hAnsi="Arial" w:cs="Arial"/>
                <w:color w:val="000000"/>
                <w:sz w:val="20"/>
                <w:szCs w:val="20"/>
              </w:rPr>
              <w:t>0</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Buah</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0</w:t>
            </w:r>
            <w:r>
              <w:rPr>
                <w:rFonts w:ascii="Arial" w:hAnsi="Arial" w:cs="Arial"/>
                <w:color w:val="000000"/>
                <w:sz w:val="20"/>
                <w:szCs w:val="20"/>
                <w:lang w:val="en-US"/>
              </w:rPr>
              <w:t>,</w:t>
            </w:r>
            <w:r w:rsidR="00F240FB" w:rsidRPr="004A65AB">
              <w:rPr>
                <w:rFonts w:ascii="Arial" w:hAnsi="Arial" w:cs="Arial"/>
                <w:color w:val="000000"/>
                <w:sz w:val="20"/>
                <w:szCs w:val="20"/>
              </w:rPr>
              <w:t>86</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10</w:t>
            </w:r>
            <w:r>
              <w:rPr>
                <w:rFonts w:ascii="Arial" w:hAnsi="Arial" w:cs="Arial"/>
                <w:color w:val="000000"/>
                <w:sz w:val="20"/>
                <w:szCs w:val="20"/>
                <w:lang w:val="en-US"/>
              </w:rPr>
              <w:t>.</w:t>
            </w:r>
            <w:r w:rsidR="00F240FB" w:rsidRPr="004A65AB">
              <w:rPr>
                <w:rFonts w:ascii="Arial" w:hAnsi="Arial" w:cs="Arial"/>
                <w:color w:val="000000"/>
                <w:sz w:val="20"/>
                <w:szCs w:val="20"/>
              </w:rPr>
              <w:t>215</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40</w:t>
            </w:r>
            <w:r>
              <w:rPr>
                <w:rFonts w:ascii="Arial" w:hAnsi="Arial" w:cs="Arial"/>
                <w:color w:val="000000"/>
                <w:sz w:val="20"/>
                <w:szCs w:val="20"/>
                <w:lang w:val="en-US"/>
              </w:rPr>
              <w:t>.</w:t>
            </w:r>
            <w:r w:rsidR="00F240FB" w:rsidRPr="004A65AB">
              <w:rPr>
                <w:rFonts w:ascii="Arial" w:hAnsi="Arial" w:cs="Arial"/>
                <w:color w:val="000000"/>
                <w:sz w:val="20"/>
                <w:szCs w:val="20"/>
              </w:rPr>
              <w:t>862</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lang w:val="en-US"/>
              </w:rPr>
              <w:t>.</w:t>
            </w:r>
            <w:r w:rsidR="00F240FB" w:rsidRPr="004A65AB">
              <w:rPr>
                <w:rFonts w:ascii="Arial" w:hAnsi="Arial" w:cs="Arial"/>
                <w:color w:val="000000"/>
                <w:sz w:val="20"/>
                <w:szCs w:val="20"/>
              </w:rPr>
              <w:t>5</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Susu</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0</w:t>
            </w:r>
            <w:r>
              <w:rPr>
                <w:rFonts w:ascii="Arial" w:hAnsi="Arial" w:cs="Arial"/>
                <w:color w:val="000000"/>
                <w:sz w:val="20"/>
                <w:szCs w:val="20"/>
                <w:lang w:val="en-US"/>
              </w:rPr>
              <w:t>,</w:t>
            </w:r>
            <w:r w:rsidR="00F240FB" w:rsidRPr="004A65AB">
              <w:rPr>
                <w:rFonts w:ascii="Arial" w:hAnsi="Arial" w:cs="Arial"/>
                <w:color w:val="000000"/>
                <w:sz w:val="20"/>
                <w:szCs w:val="20"/>
              </w:rPr>
              <w:t>39</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lang w:val="en-US"/>
              </w:rPr>
              <w:t>.</w:t>
            </w:r>
            <w:r w:rsidR="00F240FB" w:rsidRPr="004A65AB">
              <w:rPr>
                <w:rFonts w:ascii="Arial" w:hAnsi="Arial" w:cs="Arial"/>
                <w:color w:val="000000"/>
                <w:sz w:val="20"/>
                <w:szCs w:val="20"/>
              </w:rPr>
              <w:t>080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20</w:t>
            </w:r>
            <w:r>
              <w:rPr>
                <w:rFonts w:ascii="Arial" w:hAnsi="Arial" w:cs="Arial"/>
                <w:color w:val="000000"/>
                <w:sz w:val="20"/>
                <w:szCs w:val="20"/>
                <w:lang w:val="en-US"/>
              </w:rPr>
              <w:t>.</w:t>
            </w:r>
            <w:r w:rsidR="00F240FB" w:rsidRPr="004A65AB">
              <w:rPr>
                <w:rFonts w:ascii="Arial" w:hAnsi="Arial" w:cs="Arial"/>
                <w:color w:val="000000"/>
                <w:sz w:val="20"/>
                <w:szCs w:val="20"/>
              </w:rPr>
              <w:t>320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lang w:val="en-US"/>
              </w:rPr>
              <w:t>.</w:t>
            </w:r>
            <w:r w:rsidR="00F240FB" w:rsidRPr="004A65AB">
              <w:rPr>
                <w:rFonts w:ascii="Arial" w:hAnsi="Arial" w:cs="Arial"/>
                <w:color w:val="000000"/>
                <w:sz w:val="20"/>
                <w:szCs w:val="20"/>
              </w:rPr>
              <w:t>8</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Minyak goreng</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45</w:t>
            </w:r>
          </w:p>
        </w:tc>
        <w:tc>
          <w:tcPr>
            <w:tcW w:w="1631" w:type="dxa"/>
          </w:tcPr>
          <w:p w:rsidR="00F240FB" w:rsidRPr="004A65AB" w:rsidRDefault="00F240FB" w:rsidP="00A34BD8">
            <w:pPr>
              <w:spacing w:after="0" w:line="240" w:lineRule="auto"/>
              <w:jc w:val="center"/>
              <w:rPr>
                <w:rFonts w:ascii="Arial" w:hAnsi="Arial" w:cs="Arial"/>
                <w:color w:val="000000"/>
                <w:sz w:val="20"/>
                <w:szCs w:val="20"/>
              </w:rPr>
            </w:pPr>
            <w:r w:rsidRPr="004A65AB">
              <w:rPr>
                <w:rFonts w:ascii="Arial" w:hAnsi="Arial" w:cs="Arial"/>
                <w:color w:val="000000"/>
                <w:sz w:val="20"/>
                <w:szCs w:val="20"/>
              </w:rPr>
              <w:t>18</w:t>
            </w:r>
            <w:r w:rsidR="00A34BD8">
              <w:rPr>
                <w:rFonts w:ascii="Arial" w:hAnsi="Arial" w:cs="Arial"/>
                <w:color w:val="000000"/>
                <w:sz w:val="20"/>
                <w:szCs w:val="20"/>
                <w:lang w:val="en-US"/>
              </w:rPr>
              <w:t>.</w:t>
            </w:r>
            <w:r w:rsidRPr="004A65AB">
              <w:rPr>
                <w:rFonts w:ascii="Arial" w:hAnsi="Arial" w:cs="Arial"/>
                <w:color w:val="000000"/>
                <w:sz w:val="20"/>
                <w:szCs w:val="20"/>
              </w:rPr>
              <w:t>035</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72</w:t>
            </w:r>
            <w:r>
              <w:rPr>
                <w:rFonts w:ascii="Arial" w:hAnsi="Arial" w:cs="Arial"/>
                <w:color w:val="000000"/>
                <w:sz w:val="20"/>
                <w:szCs w:val="20"/>
                <w:lang w:val="en-US"/>
              </w:rPr>
              <w:t>.</w:t>
            </w:r>
            <w:r w:rsidR="00F240FB" w:rsidRPr="004A65AB">
              <w:rPr>
                <w:rFonts w:ascii="Arial" w:hAnsi="Arial" w:cs="Arial"/>
                <w:color w:val="000000"/>
                <w:sz w:val="20"/>
                <w:szCs w:val="20"/>
              </w:rPr>
              <w:t>140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9</w:t>
            </w:r>
            <w:r>
              <w:rPr>
                <w:rFonts w:ascii="Arial" w:hAnsi="Arial" w:cs="Arial"/>
                <w:color w:val="000000"/>
                <w:sz w:val="20"/>
                <w:szCs w:val="20"/>
                <w:lang w:val="en-US"/>
              </w:rPr>
              <w:t>.</w:t>
            </w:r>
            <w:r w:rsidR="00F240FB" w:rsidRPr="004A65AB">
              <w:rPr>
                <w:rFonts w:ascii="Arial" w:hAnsi="Arial" w:cs="Arial"/>
                <w:color w:val="000000"/>
                <w:sz w:val="20"/>
                <w:szCs w:val="20"/>
              </w:rPr>
              <w:t>8</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Gula</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09</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13</w:t>
            </w:r>
            <w:r>
              <w:rPr>
                <w:rFonts w:ascii="Arial" w:hAnsi="Arial" w:cs="Arial"/>
                <w:color w:val="000000"/>
                <w:sz w:val="20"/>
                <w:szCs w:val="20"/>
                <w:lang w:val="en-US"/>
              </w:rPr>
              <w:t>.</w:t>
            </w:r>
            <w:r w:rsidR="00F240FB" w:rsidRPr="004A65AB">
              <w:rPr>
                <w:rFonts w:ascii="Arial" w:hAnsi="Arial" w:cs="Arial"/>
                <w:color w:val="000000"/>
                <w:sz w:val="20"/>
                <w:szCs w:val="20"/>
              </w:rPr>
              <w:t>975</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55</w:t>
            </w:r>
            <w:r>
              <w:rPr>
                <w:rFonts w:ascii="Arial" w:hAnsi="Arial" w:cs="Arial"/>
                <w:color w:val="000000"/>
                <w:sz w:val="20"/>
                <w:szCs w:val="20"/>
                <w:lang w:val="en-US"/>
              </w:rPr>
              <w:t>.</w:t>
            </w:r>
            <w:r w:rsidR="00F240FB" w:rsidRPr="004A65AB">
              <w:rPr>
                <w:rFonts w:ascii="Arial" w:hAnsi="Arial" w:cs="Arial"/>
                <w:color w:val="000000"/>
                <w:sz w:val="20"/>
                <w:szCs w:val="20"/>
              </w:rPr>
              <w:t>440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lang w:val="en-US"/>
              </w:rPr>
              <w:t>.</w:t>
            </w:r>
            <w:r w:rsidR="00F240FB" w:rsidRPr="004A65AB">
              <w:rPr>
                <w:rFonts w:ascii="Arial" w:hAnsi="Arial" w:cs="Arial"/>
                <w:color w:val="000000"/>
                <w:sz w:val="20"/>
                <w:szCs w:val="20"/>
              </w:rPr>
              <w:t>5</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Kopi</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20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w:t>
            </w:r>
            <w:r>
              <w:rPr>
                <w:rFonts w:ascii="Arial" w:hAnsi="Arial" w:cs="Arial"/>
                <w:color w:val="000000"/>
                <w:sz w:val="20"/>
                <w:szCs w:val="20"/>
                <w:lang w:val="en-US"/>
              </w:rPr>
              <w:t>.</w:t>
            </w:r>
            <w:r w:rsidR="00F240FB" w:rsidRPr="004A65AB">
              <w:rPr>
                <w:rFonts w:ascii="Arial" w:hAnsi="Arial" w:cs="Arial"/>
                <w:color w:val="000000"/>
                <w:sz w:val="20"/>
                <w:szCs w:val="20"/>
              </w:rPr>
              <w:t>120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20</w:t>
            </w:r>
            <w:r>
              <w:rPr>
                <w:rFonts w:ascii="Arial" w:hAnsi="Arial" w:cs="Arial"/>
                <w:color w:val="000000"/>
                <w:sz w:val="20"/>
                <w:szCs w:val="20"/>
                <w:lang w:val="en-US"/>
              </w:rPr>
              <w:t>.</w:t>
            </w:r>
            <w:r w:rsidR="00F240FB" w:rsidRPr="004A65AB">
              <w:rPr>
                <w:rFonts w:ascii="Arial" w:hAnsi="Arial" w:cs="Arial"/>
                <w:color w:val="000000"/>
                <w:sz w:val="20"/>
                <w:szCs w:val="20"/>
              </w:rPr>
              <w:t>480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lang w:val="en-US"/>
              </w:rPr>
              <w:t>.</w:t>
            </w:r>
            <w:r w:rsidR="00F240FB" w:rsidRPr="004A65AB">
              <w:rPr>
                <w:rFonts w:ascii="Arial" w:hAnsi="Arial" w:cs="Arial"/>
                <w:color w:val="000000"/>
                <w:sz w:val="20"/>
                <w:szCs w:val="20"/>
              </w:rPr>
              <w:t>8</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Teh</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0</w:t>
            </w:r>
            <w:r>
              <w:rPr>
                <w:rFonts w:ascii="Arial" w:hAnsi="Arial" w:cs="Arial"/>
                <w:color w:val="000000"/>
                <w:sz w:val="20"/>
                <w:szCs w:val="20"/>
                <w:lang w:val="en-US"/>
              </w:rPr>
              <w:t>,</w:t>
            </w:r>
            <w:r w:rsidR="00F240FB" w:rsidRPr="004A65AB">
              <w:rPr>
                <w:rFonts w:ascii="Arial" w:hAnsi="Arial" w:cs="Arial"/>
                <w:color w:val="000000"/>
                <w:sz w:val="20"/>
                <w:szCs w:val="20"/>
              </w:rPr>
              <w:t>97</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4</w:t>
            </w:r>
            <w:r>
              <w:rPr>
                <w:rFonts w:ascii="Arial" w:hAnsi="Arial" w:cs="Arial"/>
                <w:color w:val="000000"/>
                <w:sz w:val="20"/>
                <w:szCs w:val="20"/>
                <w:lang w:val="en-US"/>
              </w:rPr>
              <w:t>.</w:t>
            </w:r>
            <w:r w:rsidR="00F240FB" w:rsidRPr="004A65AB">
              <w:rPr>
                <w:rFonts w:ascii="Arial" w:hAnsi="Arial" w:cs="Arial"/>
                <w:color w:val="000000"/>
                <w:sz w:val="20"/>
                <w:szCs w:val="20"/>
              </w:rPr>
              <w:t>090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16</w:t>
            </w:r>
            <w:r>
              <w:rPr>
                <w:rFonts w:ascii="Arial" w:hAnsi="Arial" w:cs="Arial"/>
                <w:color w:val="000000"/>
                <w:sz w:val="20"/>
                <w:szCs w:val="20"/>
                <w:lang w:val="en-US"/>
              </w:rPr>
              <w:t>.</w:t>
            </w:r>
            <w:r w:rsidR="00F240FB" w:rsidRPr="004A65AB">
              <w:rPr>
                <w:rFonts w:ascii="Arial" w:hAnsi="Arial" w:cs="Arial"/>
                <w:color w:val="000000"/>
                <w:sz w:val="20"/>
                <w:szCs w:val="20"/>
              </w:rPr>
              <w:t>360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2</w:t>
            </w:r>
            <w:r>
              <w:rPr>
                <w:rFonts w:ascii="Arial" w:hAnsi="Arial" w:cs="Arial"/>
                <w:color w:val="000000"/>
                <w:sz w:val="20"/>
                <w:szCs w:val="20"/>
                <w:lang w:val="en-US"/>
              </w:rPr>
              <w:t>.</w:t>
            </w:r>
            <w:r w:rsidR="00F240FB" w:rsidRPr="004A65AB">
              <w:rPr>
                <w:rFonts w:ascii="Arial" w:hAnsi="Arial" w:cs="Arial"/>
                <w:color w:val="000000"/>
                <w:sz w:val="20"/>
                <w:szCs w:val="20"/>
              </w:rPr>
              <w:t>2</w:t>
            </w:r>
          </w:p>
        </w:tc>
      </w:tr>
      <w:tr w:rsidR="00F240FB" w:rsidRPr="004A65AB" w:rsidTr="00D6093B">
        <w:tc>
          <w:tcPr>
            <w:tcW w:w="1630" w:type="dxa"/>
          </w:tcPr>
          <w:p w:rsidR="00F240FB" w:rsidRPr="004A65AB" w:rsidRDefault="00F240FB" w:rsidP="00F240FB">
            <w:pPr>
              <w:spacing w:after="0" w:line="240" w:lineRule="auto"/>
              <w:rPr>
                <w:rFonts w:ascii="Arial" w:eastAsia="Times New Roman" w:hAnsi="Arial" w:cs="Arial"/>
                <w:color w:val="000000"/>
                <w:sz w:val="20"/>
                <w:szCs w:val="20"/>
              </w:rPr>
            </w:pPr>
            <w:r w:rsidRPr="004A65AB">
              <w:rPr>
                <w:rFonts w:ascii="Arial" w:eastAsia="Times New Roman" w:hAnsi="Arial" w:cs="Arial"/>
                <w:color w:val="000000"/>
                <w:sz w:val="20"/>
                <w:szCs w:val="20"/>
              </w:rPr>
              <w:t>Bumbu dapur</w:t>
            </w:r>
          </w:p>
        </w:tc>
        <w:tc>
          <w:tcPr>
            <w:tcW w:w="1631" w:type="dxa"/>
          </w:tcPr>
          <w:p w:rsidR="00F240FB" w:rsidRPr="004A65AB" w:rsidRDefault="00A34BD8" w:rsidP="00F240FB">
            <w:pPr>
              <w:spacing w:after="0" w:line="240" w:lineRule="auto"/>
              <w:jc w:val="center"/>
              <w:rPr>
                <w:rFonts w:ascii="Arial" w:hAnsi="Arial" w:cs="Arial"/>
                <w:color w:val="000000"/>
                <w:sz w:val="20"/>
                <w:szCs w:val="20"/>
                <w:lang w:val="en-US"/>
              </w:rPr>
            </w:pPr>
            <w:r>
              <w:rPr>
                <w:rFonts w:ascii="Arial" w:hAnsi="Arial" w:cs="Arial"/>
                <w:color w:val="000000"/>
                <w:sz w:val="20"/>
                <w:szCs w:val="20"/>
              </w:rPr>
              <w:t>1</w:t>
            </w:r>
            <w:r>
              <w:rPr>
                <w:rFonts w:ascii="Arial" w:hAnsi="Arial" w:cs="Arial"/>
                <w:color w:val="000000"/>
                <w:sz w:val="20"/>
                <w:szCs w:val="20"/>
                <w:lang w:val="en-US"/>
              </w:rPr>
              <w:t>,</w:t>
            </w:r>
            <w:r w:rsidR="00F240FB" w:rsidRPr="004A65AB">
              <w:rPr>
                <w:rFonts w:ascii="Arial" w:hAnsi="Arial" w:cs="Arial"/>
                <w:color w:val="000000"/>
                <w:sz w:val="20"/>
                <w:szCs w:val="20"/>
              </w:rPr>
              <w:t>2</w:t>
            </w:r>
            <w:r w:rsidR="00F240FB" w:rsidRPr="004A65AB">
              <w:rPr>
                <w:rFonts w:ascii="Arial" w:hAnsi="Arial" w:cs="Arial"/>
                <w:color w:val="000000"/>
                <w:sz w:val="20"/>
                <w:szCs w:val="20"/>
                <w:lang w:val="en-US"/>
              </w:rPr>
              <w:t>1</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13</w:t>
            </w:r>
            <w:r>
              <w:rPr>
                <w:rFonts w:ascii="Arial" w:hAnsi="Arial" w:cs="Arial"/>
                <w:color w:val="000000"/>
                <w:sz w:val="20"/>
                <w:szCs w:val="20"/>
                <w:lang w:val="en-US"/>
              </w:rPr>
              <w:t>.</w:t>
            </w:r>
            <w:r w:rsidR="00F240FB" w:rsidRPr="004A65AB">
              <w:rPr>
                <w:rFonts w:ascii="Arial" w:hAnsi="Arial" w:cs="Arial"/>
                <w:color w:val="000000"/>
                <w:sz w:val="20"/>
                <w:szCs w:val="20"/>
              </w:rPr>
              <w:t>350</w:t>
            </w: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53</w:t>
            </w:r>
            <w:r>
              <w:rPr>
                <w:rFonts w:ascii="Arial" w:hAnsi="Arial" w:cs="Arial"/>
                <w:color w:val="000000"/>
                <w:sz w:val="20"/>
                <w:szCs w:val="20"/>
                <w:lang w:val="en-US"/>
              </w:rPr>
              <w:t>.</w:t>
            </w:r>
            <w:r w:rsidR="00F240FB" w:rsidRPr="004A65AB">
              <w:rPr>
                <w:rFonts w:ascii="Arial" w:hAnsi="Arial" w:cs="Arial"/>
                <w:color w:val="000000"/>
                <w:sz w:val="20"/>
                <w:szCs w:val="20"/>
              </w:rPr>
              <w:t>400</w:t>
            </w:r>
          </w:p>
        </w:tc>
        <w:tc>
          <w:tcPr>
            <w:tcW w:w="1631" w:type="dxa"/>
            <w:vAlign w:val="bottom"/>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7</w:t>
            </w:r>
            <w:r>
              <w:rPr>
                <w:rFonts w:ascii="Arial" w:hAnsi="Arial" w:cs="Arial"/>
                <w:color w:val="000000"/>
                <w:sz w:val="20"/>
                <w:szCs w:val="20"/>
                <w:lang w:val="en-US"/>
              </w:rPr>
              <w:t>.</w:t>
            </w:r>
            <w:r w:rsidR="00F240FB" w:rsidRPr="004A65AB">
              <w:rPr>
                <w:rFonts w:ascii="Arial" w:hAnsi="Arial" w:cs="Arial"/>
                <w:color w:val="000000"/>
                <w:sz w:val="20"/>
                <w:szCs w:val="20"/>
              </w:rPr>
              <w:t>2</w:t>
            </w:r>
          </w:p>
        </w:tc>
      </w:tr>
      <w:tr w:rsidR="00F240FB" w:rsidRPr="004A65AB" w:rsidTr="00F240FB">
        <w:tc>
          <w:tcPr>
            <w:tcW w:w="1630" w:type="dxa"/>
          </w:tcPr>
          <w:p w:rsidR="00F240FB" w:rsidRPr="004A65AB" w:rsidRDefault="00F240FB" w:rsidP="00F240FB">
            <w:pPr>
              <w:spacing w:after="0" w:line="240" w:lineRule="auto"/>
              <w:jc w:val="center"/>
              <w:rPr>
                <w:rFonts w:ascii="Arial" w:eastAsia="Times New Roman" w:hAnsi="Arial" w:cs="Arial"/>
                <w:color w:val="000000"/>
                <w:sz w:val="20"/>
                <w:szCs w:val="20"/>
              </w:rPr>
            </w:pPr>
            <w:r w:rsidRPr="004A65AB">
              <w:rPr>
                <w:rFonts w:ascii="Arial" w:eastAsia="Times New Roman" w:hAnsi="Arial" w:cs="Arial"/>
                <w:color w:val="000000"/>
                <w:sz w:val="20"/>
                <w:szCs w:val="20"/>
              </w:rPr>
              <w:t>TOTAL</w:t>
            </w:r>
          </w:p>
        </w:tc>
        <w:tc>
          <w:tcPr>
            <w:tcW w:w="1631" w:type="dxa"/>
          </w:tcPr>
          <w:p w:rsidR="00F240FB" w:rsidRPr="004A65AB" w:rsidRDefault="00F240FB" w:rsidP="00F240FB">
            <w:pPr>
              <w:spacing w:after="0" w:line="240" w:lineRule="auto"/>
              <w:jc w:val="center"/>
              <w:rPr>
                <w:rFonts w:ascii="Arial" w:eastAsia="Times New Roman" w:hAnsi="Arial" w:cs="Arial"/>
                <w:b/>
                <w:sz w:val="20"/>
                <w:szCs w:val="20"/>
              </w:rPr>
            </w:pPr>
          </w:p>
        </w:tc>
        <w:tc>
          <w:tcPr>
            <w:tcW w:w="1631" w:type="dxa"/>
          </w:tcPr>
          <w:p w:rsidR="00F240FB" w:rsidRPr="004A65AB" w:rsidRDefault="00A34BD8" w:rsidP="00F240FB">
            <w:pPr>
              <w:spacing w:after="0" w:line="240" w:lineRule="auto"/>
              <w:jc w:val="center"/>
              <w:rPr>
                <w:rFonts w:ascii="Arial" w:hAnsi="Arial" w:cs="Arial"/>
                <w:color w:val="000000"/>
                <w:sz w:val="20"/>
                <w:szCs w:val="20"/>
              </w:rPr>
            </w:pPr>
            <w:r>
              <w:rPr>
                <w:rFonts w:ascii="Arial" w:hAnsi="Arial" w:cs="Arial"/>
                <w:color w:val="000000"/>
                <w:sz w:val="20"/>
                <w:szCs w:val="20"/>
              </w:rPr>
              <w:t>184</w:t>
            </w:r>
            <w:r>
              <w:rPr>
                <w:rFonts w:ascii="Arial" w:hAnsi="Arial" w:cs="Arial"/>
                <w:color w:val="000000"/>
                <w:sz w:val="20"/>
                <w:szCs w:val="20"/>
                <w:lang w:val="en-US"/>
              </w:rPr>
              <w:t>.</w:t>
            </w:r>
            <w:r w:rsidR="00F240FB" w:rsidRPr="004A65AB">
              <w:rPr>
                <w:rFonts w:ascii="Arial" w:hAnsi="Arial" w:cs="Arial"/>
                <w:color w:val="000000"/>
                <w:sz w:val="20"/>
                <w:szCs w:val="20"/>
              </w:rPr>
              <w:t>436</w:t>
            </w:r>
          </w:p>
        </w:tc>
        <w:tc>
          <w:tcPr>
            <w:tcW w:w="1631" w:type="dxa"/>
          </w:tcPr>
          <w:p w:rsidR="00F240FB" w:rsidRPr="004A65AB" w:rsidRDefault="00A34BD8" w:rsidP="00F240FB">
            <w:pPr>
              <w:spacing w:after="0" w:line="240" w:lineRule="auto"/>
              <w:jc w:val="center"/>
              <w:rPr>
                <w:rFonts w:ascii="Arial" w:hAnsi="Arial" w:cs="Arial"/>
                <w:color w:val="000000"/>
                <w:sz w:val="20"/>
                <w:szCs w:val="20"/>
                <w:lang w:val="en-US"/>
              </w:rPr>
            </w:pPr>
            <w:r>
              <w:rPr>
                <w:rFonts w:ascii="Arial" w:hAnsi="Arial" w:cs="Arial"/>
                <w:color w:val="000000"/>
                <w:sz w:val="20"/>
                <w:szCs w:val="20"/>
              </w:rPr>
              <w:t>737</w:t>
            </w:r>
            <w:r>
              <w:rPr>
                <w:rFonts w:ascii="Arial" w:hAnsi="Arial" w:cs="Arial"/>
                <w:color w:val="000000"/>
                <w:sz w:val="20"/>
                <w:szCs w:val="20"/>
                <w:lang w:val="en-US"/>
              </w:rPr>
              <w:t>.</w:t>
            </w:r>
            <w:r w:rsidR="00F240FB" w:rsidRPr="004A65AB">
              <w:rPr>
                <w:rFonts w:ascii="Arial" w:hAnsi="Arial" w:cs="Arial"/>
                <w:color w:val="000000"/>
                <w:sz w:val="20"/>
                <w:szCs w:val="20"/>
              </w:rPr>
              <w:t>285</w:t>
            </w:r>
          </w:p>
        </w:tc>
        <w:tc>
          <w:tcPr>
            <w:tcW w:w="1631" w:type="dxa"/>
          </w:tcPr>
          <w:p w:rsidR="00F240FB" w:rsidRPr="004A65AB" w:rsidRDefault="00F240FB" w:rsidP="00F240FB">
            <w:pPr>
              <w:spacing w:after="0" w:line="240" w:lineRule="auto"/>
              <w:jc w:val="center"/>
              <w:rPr>
                <w:rFonts w:ascii="Arial" w:eastAsia="Times New Roman" w:hAnsi="Arial" w:cs="Arial"/>
                <w:b/>
                <w:color w:val="000000"/>
                <w:sz w:val="20"/>
                <w:szCs w:val="20"/>
                <w:lang w:val="en-US"/>
              </w:rPr>
            </w:pPr>
            <w:r w:rsidRPr="004A65AB">
              <w:rPr>
                <w:rFonts w:ascii="Arial" w:eastAsia="Times New Roman" w:hAnsi="Arial" w:cs="Arial"/>
                <w:b/>
                <w:color w:val="000000"/>
                <w:sz w:val="20"/>
                <w:szCs w:val="20"/>
              </w:rPr>
              <w:t>10</w:t>
            </w:r>
            <w:r w:rsidRPr="004A65AB">
              <w:rPr>
                <w:rFonts w:ascii="Arial" w:eastAsia="Times New Roman" w:hAnsi="Arial" w:cs="Arial"/>
                <w:b/>
                <w:color w:val="000000"/>
                <w:sz w:val="20"/>
                <w:szCs w:val="20"/>
                <w:lang w:val="en-US"/>
              </w:rPr>
              <w:t>0</w:t>
            </w:r>
          </w:p>
        </w:tc>
      </w:tr>
    </w:tbl>
    <w:p w:rsidR="00377C91" w:rsidRDefault="00377C91" w:rsidP="00377C91">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5D01F2" w:rsidRDefault="005D01F2" w:rsidP="0002273E">
      <w:pPr>
        <w:spacing w:after="0" w:line="240" w:lineRule="auto"/>
        <w:jc w:val="both"/>
        <w:rPr>
          <w:rFonts w:ascii="Arial" w:hAnsi="Arial" w:cs="Arial"/>
          <w:b/>
          <w:bCs/>
          <w:color w:val="000000"/>
          <w:lang w:val="en-US"/>
        </w:rPr>
      </w:pPr>
    </w:p>
    <w:p w:rsidR="00B11273" w:rsidRPr="00B11273" w:rsidRDefault="00B11273" w:rsidP="0002273E">
      <w:pPr>
        <w:spacing w:after="0" w:line="240" w:lineRule="auto"/>
        <w:jc w:val="both"/>
        <w:rPr>
          <w:rFonts w:ascii="Arial" w:hAnsi="Arial" w:cs="Arial"/>
          <w:b/>
          <w:bCs/>
          <w:color w:val="000000"/>
          <w:lang w:val="en-US"/>
        </w:rPr>
      </w:pPr>
      <w:r w:rsidRPr="00B11273">
        <w:rPr>
          <w:rFonts w:ascii="Arial" w:hAnsi="Arial" w:cs="Arial"/>
          <w:b/>
          <w:bCs/>
          <w:color w:val="000000"/>
          <w:lang w:val="en-US"/>
        </w:rPr>
        <w:t xml:space="preserve">Uji </w:t>
      </w:r>
      <w:r w:rsidR="00BC6114" w:rsidRPr="00B11273">
        <w:rPr>
          <w:rFonts w:ascii="Arial" w:hAnsi="Arial" w:cs="Arial"/>
          <w:b/>
          <w:bCs/>
          <w:color w:val="000000"/>
          <w:lang w:val="en-US"/>
        </w:rPr>
        <w:t>Hipotesis Faktor-Faktor Yang Mempengaruhi Konsumsi Pangan</w:t>
      </w:r>
    </w:p>
    <w:p w:rsidR="00C645DE" w:rsidRPr="00216D38" w:rsidRDefault="004A65AB" w:rsidP="00FD5648">
      <w:pPr>
        <w:pStyle w:val="NoSpacing"/>
        <w:jc w:val="both"/>
        <w:rPr>
          <w:rFonts w:ascii="Arial" w:hAnsi="Arial" w:cs="Arial"/>
          <w:bCs/>
          <w:color w:val="000000"/>
          <w:sz w:val="22"/>
          <w:szCs w:val="22"/>
        </w:rPr>
      </w:pPr>
      <w:r>
        <w:rPr>
          <w:rFonts w:ascii="Arial" w:hAnsi="Arial" w:cs="Arial"/>
          <w:bCs/>
          <w:color w:val="000000"/>
          <w:sz w:val="22"/>
          <w:szCs w:val="22"/>
        </w:rPr>
        <w:t>Lampiran 1</w:t>
      </w:r>
      <w:r w:rsidR="0002273E">
        <w:rPr>
          <w:rFonts w:ascii="Arial" w:hAnsi="Arial" w:cs="Arial"/>
          <w:bCs/>
          <w:color w:val="000000"/>
          <w:sz w:val="22"/>
          <w:szCs w:val="22"/>
        </w:rPr>
        <w:t xml:space="preserve"> menunjukkan bahwa s</w:t>
      </w:r>
      <w:r w:rsidR="0002273E" w:rsidRPr="00216D38">
        <w:rPr>
          <w:rFonts w:ascii="Arial" w:hAnsi="Arial" w:cs="Arial"/>
          <w:bCs/>
          <w:color w:val="000000"/>
          <w:sz w:val="22"/>
          <w:szCs w:val="22"/>
        </w:rPr>
        <w:t>emua indikator memenuhi validitas konvergen</w:t>
      </w:r>
      <w:r w:rsidR="0002273E">
        <w:rPr>
          <w:rFonts w:ascii="Arial" w:hAnsi="Arial" w:cs="Arial"/>
          <w:bCs/>
          <w:color w:val="000000"/>
          <w:sz w:val="22"/>
          <w:szCs w:val="22"/>
        </w:rPr>
        <w:t>,</w:t>
      </w:r>
      <w:r w:rsidR="0002273E" w:rsidRPr="00216D38">
        <w:rPr>
          <w:rFonts w:ascii="Arial" w:hAnsi="Arial" w:cs="Arial"/>
          <w:bCs/>
          <w:color w:val="000000"/>
          <w:sz w:val="22"/>
          <w:szCs w:val="22"/>
        </w:rPr>
        <w:t xml:space="preserve"> yakni ditunjukkan dengan nilai loading &gt; 0,3, dan memenuhi validitas diskriminan yakni ditunjukkan dengan nilai loading lebih besar dari cross loading </w:t>
      </w:r>
      <w:r w:rsidR="00B94BBB">
        <w:rPr>
          <w:rFonts w:ascii="Arial" w:hAnsi="Arial" w:cs="Arial"/>
          <w:bCs/>
          <w:color w:val="000000"/>
          <w:sz w:val="22"/>
          <w:szCs w:val="22"/>
        </w:rPr>
        <w:fldChar w:fldCharType="begin" w:fldLock="1"/>
      </w:r>
      <w:r w:rsidR="0073660B">
        <w:rPr>
          <w:rFonts w:ascii="Arial" w:hAnsi="Arial" w:cs="Arial"/>
          <w:bCs/>
          <w:color w:val="000000"/>
          <w:sz w:val="22"/>
          <w:szCs w:val="22"/>
        </w:rPr>
        <w:instrText>ADDIN CSL_CITATION { "citationItems" : [ { "id" : "ITEM-1", "itemData" : { "author" : [ { "dropping-particle" : "", "family" : "Solimun", "given" : "Solmun", "non-dropping-particle" : "", "parse-names" : false, "suffix" : "" }, { "dropping-particle" : "", "family" : "Fernandes", "given" : "Adji Achmad Rinaldo", "non-dropping-particle" : "", "parse-names" : false, "suffix" : "" }, { "dropping-particle" : "", "family" : "Nurjannah", "given" : "Nurjannah", "non-dropping-particle" : "", "parse-names" : false, "suffix" : "" } ], "id" : "ITEM-1", "issued" : { "date-parts" : [ [ "2017" ] ] }, "publisher" : "UB Press.", "publisher-place" : "Malang", "title" : "Metode Statistika Multivarial Pemodelan Persamaan Struktural (SEM) Pendekatan WarpPLS", "type" : "book" }, "uris" : [ "http://www.mendeley.com/documents/?uuid=466a8f9b-1798-41a0-aa46-d12e461d6916" ] } ], "mendeley" : { "formattedCitation" : "(Solimun et al., 2017)", "plainTextFormattedCitation" : "(Solimun et al., 2017)", "previouslyFormattedCitation" : "(Solimun et al., 2017)" }, "properties" : {  }, "schema" : "https://github.com/citation-style-language/schema/raw/master/csl-citation.json" }</w:instrText>
      </w:r>
      <w:r w:rsidR="00B94BBB">
        <w:rPr>
          <w:rFonts w:ascii="Arial" w:hAnsi="Arial" w:cs="Arial"/>
          <w:bCs/>
          <w:color w:val="000000"/>
          <w:sz w:val="22"/>
          <w:szCs w:val="22"/>
        </w:rPr>
        <w:fldChar w:fldCharType="separate"/>
      </w:r>
      <w:r w:rsidR="0073660B" w:rsidRPr="0073660B">
        <w:rPr>
          <w:rFonts w:ascii="Arial" w:hAnsi="Arial" w:cs="Arial"/>
          <w:bCs/>
          <w:noProof/>
          <w:color w:val="000000"/>
          <w:sz w:val="22"/>
          <w:szCs w:val="22"/>
        </w:rPr>
        <w:t>(Solimun et al., 2017)</w:t>
      </w:r>
      <w:r w:rsidR="00B94BBB">
        <w:rPr>
          <w:rFonts w:ascii="Arial" w:hAnsi="Arial" w:cs="Arial"/>
          <w:bCs/>
          <w:color w:val="000000"/>
          <w:sz w:val="22"/>
          <w:szCs w:val="22"/>
        </w:rPr>
        <w:fldChar w:fldCharType="end"/>
      </w:r>
      <w:r w:rsidR="0002273E" w:rsidRPr="00216D38">
        <w:rPr>
          <w:rFonts w:ascii="Arial" w:hAnsi="Arial" w:cs="Arial"/>
          <w:bCs/>
          <w:color w:val="000000"/>
          <w:sz w:val="22"/>
          <w:szCs w:val="22"/>
        </w:rPr>
        <w:t>. Artinya instrumen penelitian memenuhi validitas dalam mengukur indikator penelitian.</w:t>
      </w:r>
      <w:r w:rsidR="00FD5648">
        <w:rPr>
          <w:rFonts w:ascii="Arial" w:hAnsi="Arial" w:cs="Arial"/>
          <w:bCs/>
          <w:color w:val="000000"/>
          <w:sz w:val="22"/>
          <w:szCs w:val="22"/>
        </w:rPr>
        <w:t xml:space="preserve"> </w:t>
      </w:r>
      <w:r w:rsidR="00C645DE" w:rsidRPr="00216D38">
        <w:rPr>
          <w:rFonts w:ascii="Arial" w:hAnsi="Arial" w:cs="Arial"/>
          <w:bCs/>
          <w:color w:val="000000"/>
          <w:sz w:val="22"/>
          <w:szCs w:val="22"/>
        </w:rPr>
        <w:t xml:space="preserve">Instrumen juga memenuhi kriteria reliabilitas, yakni nilai </w:t>
      </w:r>
      <w:r w:rsidR="00C645DE" w:rsidRPr="00216D38">
        <w:rPr>
          <w:rFonts w:ascii="Arial" w:hAnsi="Arial" w:cs="Arial"/>
          <w:bCs/>
          <w:color w:val="000000"/>
          <w:sz w:val="22"/>
          <w:szCs w:val="22"/>
        </w:rPr>
        <w:lastRenderedPageBreak/>
        <w:t>composite reliability lebih besar dari 0,7</w:t>
      </w:r>
      <w:r>
        <w:rPr>
          <w:rFonts w:ascii="Arial" w:hAnsi="Arial" w:cs="Arial"/>
          <w:bCs/>
          <w:color w:val="000000"/>
          <w:sz w:val="22"/>
          <w:szCs w:val="22"/>
        </w:rPr>
        <w:t xml:space="preserve"> (</w:t>
      </w:r>
      <w:r w:rsidR="00DE77E9">
        <w:rPr>
          <w:rFonts w:ascii="Arial" w:hAnsi="Arial" w:cs="Arial"/>
          <w:bCs/>
          <w:color w:val="000000"/>
          <w:sz w:val="22"/>
          <w:szCs w:val="22"/>
        </w:rPr>
        <w:t xml:space="preserve">lihat </w:t>
      </w:r>
      <w:r>
        <w:rPr>
          <w:rFonts w:ascii="Arial" w:hAnsi="Arial" w:cs="Arial"/>
          <w:bCs/>
          <w:color w:val="000000"/>
          <w:sz w:val="22"/>
          <w:szCs w:val="22"/>
        </w:rPr>
        <w:t>Tabel 7</w:t>
      </w:r>
      <w:r w:rsidR="00C645DE">
        <w:rPr>
          <w:rFonts w:ascii="Arial" w:hAnsi="Arial" w:cs="Arial"/>
          <w:bCs/>
          <w:color w:val="000000"/>
          <w:sz w:val="22"/>
          <w:szCs w:val="22"/>
        </w:rPr>
        <w:t>).</w:t>
      </w:r>
      <w:r w:rsidR="00C645DE" w:rsidRPr="00216D38">
        <w:rPr>
          <w:rFonts w:ascii="Arial" w:hAnsi="Arial" w:cs="Arial"/>
          <w:bCs/>
          <w:color w:val="000000"/>
          <w:sz w:val="22"/>
          <w:szCs w:val="22"/>
        </w:rPr>
        <w:t xml:space="preserve"> </w:t>
      </w:r>
      <w:r w:rsidR="00C645DE">
        <w:rPr>
          <w:rFonts w:ascii="Arial" w:hAnsi="Arial" w:cs="Arial"/>
          <w:bCs/>
          <w:color w:val="000000"/>
          <w:sz w:val="22"/>
          <w:szCs w:val="22"/>
        </w:rPr>
        <w:t xml:space="preserve">Menurut </w:t>
      </w:r>
      <w:r w:rsidR="00C645DE" w:rsidRPr="00216D38">
        <w:rPr>
          <w:rFonts w:ascii="Arial" w:hAnsi="Arial" w:cs="Arial"/>
          <w:bCs/>
          <w:color w:val="000000"/>
          <w:sz w:val="22"/>
          <w:szCs w:val="22"/>
        </w:rPr>
        <w:t>Solimun</w:t>
      </w:r>
      <w:r w:rsidR="00DE77E9">
        <w:rPr>
          <w:rFonts w:ascii="Arial" w:hAnsi="Arial" w:cs="Arial"/>
          <w:bCs/>
          <w:color w:val="000000"/>
          <w:sz w:val="22"/>
          <w:szCs w:val="22"/>
        </w:rPr>
        <w:t xml:space="preserve"> et al. </w:t>
      </w:r>
      <w:r w:rsidR="00B94BBB">
        <w:rPr>
          <w:rFonts w:ascii="Arial" w:hAnsi="Arial" w:cs="Arial"/>
          <w:bCs/>
          <w:color w:val="000000"/>
          <w:sz w:val="22"/>
          <w:szCs w:val="22"/>
        </w:rPr>
        <w:fldChar w:fldCharType="begin" w:fldLock="1"/>
      </w:r>
      <w:r w:rsidR="00DE77E9">
        <w:rPr>
          <w:rFonts w:ascii="Arial" w:hAnsi="Arial" w:cs="Arial"/>
          <w:bCs/>
          <w:color w:val="000000"/>
          <w:sz w:val="22"/>
          <w:szCs w:val="22"/>
        </w:rPr>
        <w:instrText>ADDIN CSL_CITATION { "citationItems" : [ { "id" : "ITEM-1", "itemData" : { "author" : [ { "dropping-particle" : "", "family" : "Solimun", "given" : "Solmun", "non-dropping-particle" : "", "parse-names" : false, "suffix" : "" }, { "dropping-particle" : "", "family" : "Fernandes", "given" : "Adji Achmad Rinaldo", "non-dropping-particle" : "", "parse-names" : false, "suffix" : "" }, { "dropping-particle" : "", "family" : "Nurjannah", "given" : "Nurjannah", "non-dropping-particle" : "", "parse-names" : false, "suffix" : "" } ], "id" : "ITEM-1", "issued" : { "date-parts" : [ [ "2017" ] ] }, "publisher" : "UB Press.", "publisher-place" : "Malang", "title" : "Metode Statistika Multivarial Pemodelan Persamaan Struktural (SEM) Pendekatan WarpPLS", "type" : "book" }, "suppress-author" : 1, "uris" : [ "http://www.mendeley.com/documents/?uuid=466a8f9b-1798-41a0-aa46-d12e461d6916" ] } ], "mendeley" : { "formattedCitation" : "(2017)", "plainTextFormattedCitation" : "(2017)", "previouslyFormattedCitation" : "(2017)" }, "properties" : {  }, "schema" : "https://github.com/citation-style-language/schema/raw/master/csl-citation.json" }</w:instrText>
      </w:r>
      <w:r w:rsidR="00B94BBB">
        <w:rPr>
          <w:rFonts w:ascii="Arial" w:hAnsi="Arial" w:cs="Arial"/>
          <w:bCs/>
          <w:color w:val="000000"/>
          <w:sz w:val="22"/>
          <w:szCs w:val="22"/>
        </w:rPr>
        <w:fldChar w:fldCharType="separate"/>
      </w:r>
      <w:r w:rsidR="00DE77E9" w:rsidRPr="00DE77E9">
        <w:rPr>
          <w:rFonts w:ascii="Arial" w:hAnsi="Arial" w:cs="Arial"/>
          <w:bCs/>
          <w:noProof/>
          <w:color w:val="000000"/>
          <w:sz w:val="22"/>
          <w:szCs w:val="22"/>
        </w:rPr>
        <w:t>(2017)</w:t>
      </w:r>
      <w:r w:rsidR="00B94BBB">
        <w:rPr>
          <w:rFonts w:ascii="Arial" w:hAnsi="Arial" w:cs="Arial"/>
          <w:bCs/>
          <w:color w:val="000000"/>
          <w:sz w:val="22"/>
          <w:szCs w:val="22"/>
        </w:rPr>
        <w:fldChar w:fldCharType="end"/>
      </w:r>
      <w:r w:rsidR="00C645DE">
        <w:rPr>
          <w:rFonts w:ascii="Arial" w:hAnsi="Arial" w:cs="Arial"/>
          <w:bCs/>
          <w:color w:val="000000"/>
          <w:sz w:val="22"/>
          <w:szCs w:val="22"/>
        </w:rPr>
        <w:t xml:space="preserve"> nilai composite reliability </w:t>
      </w:r>
      <w:r w:rsidR="00DE77E9">
        <w:rPr>
          <w:rFonts w:ascii="Arial" w:hAnsi="Arial" w:cs="Arial"/>
          <w:bCs/>
          <w:color w:val="000000"/>
          <w:sz w:val="22"/>
          <w:szCs w:val="22"/>
        </w:rPr>
        <w:t xml:space="preserve">lebih </w:t>
      </w:r>
      <w:r w:rsidR="00C645DE">
        <w:rPr>
          <w:rFonts w:ascii="Arial" w:hAnsi="Arial" w:cs="Arial"/>
          <w:bCs/>
          <w:color w:val="000000"/>
          <w:sz w:val="22"/>
          <w:szCs w:val="22"/>
        </w:rPr>
        <w:t xml:space="preserve">besar </w:t>
      </w:r>
      <w:r w:rsidR="00DE77E9">
        <w:rPr>
          <w:rFonts w:ascii="Arial" w:hAnsi="Arial" w:cs="Arial"/>
          <w:bCs/>
          <w:color w:val="000000"/>
          <w:sz w:val="22"/>
          <w:szCs w:val="22"/>
        </w:rPr>
        <w:t xml:space="preserve">dari </w:t>
      </w:r>
      <w:r w:rsidR="00C645DE">
        <w:rPr>
          <w:rFonts w:ascii="Arial" w:hAnsi="Arial" w:cs="Arial"/>
          <w:bCs/>
          <w:color w:val="000000"/>
          <w:sz w:val="22"/>
          <w:szCs w:val="22"/>
        </w:rPr>
        <w:t xml:space="preserve">0,7 </w:t>
      </w:r>
      <w:r w:rsidR="00DE77E9">
        <w:rPr>
          <w:rFonts w:ascii="Arial" w:hAnsi="Arial" w:cs="Arial"/>
          <w:bCs/>
          <w:color w:val="000000"/>
          <w:sz w:val="22"/>
          <w:szCs w:val="22"/>
        </w:rPr>
        <w:t>artinya</w:t>
      </w:r>
      <w:r w:rsidR="00C645DE" w:rsidRPr="00216D38">
        <w:rPr>
          <w:rFonts w:ascii="Arial" w:hAnsi="Arial" w:cs="Arial"/>
          <w:bCs/>
          <w:color w:val="000000"/>
          <w:sz w:val="22"/>
          <w:szCs w:val="22"/>
        </w:rPr>
        <w:t xml:space="preserve"> instrumen penelitian </w:t>
      </w:r>
      <w:r w:rsidR="00C645DE">
        <w:rPr>
          <w:rFonts w:ascii="Arial" w:hAnsi="Arial" w:cs="Arial"/>
          <w:bCs/>
          <w:color w:val="000000"/>
          <w:sz w:val="22"/>
          <w:szCs w:val="22"/>
        </w:rPr>
        <w:t xml:space="preserve">memenuhi </w:t>
      </w:r>
      <w:r w:rsidR="00DE77E9">
        <w:rPr>
          <w:rFonts w:ascii="Arial" w:hAnsi="Arial" w:cs="Arial"/>
          <w:bCs/>
          <w:color w:val="000000"/>
          <w:sz w:val="22"/>
          <w:szCs w:val="22"/>
        </w:rPr>
        <w:t xml:space="preserve">reliabilitas komposit dan </w:t>
      </w:r>
      <w:r w:rsidR="00C645DE" w:rsidRPr="00216D38">
        <w:rPr>
          <w:rFonts w:ascii="Arial" w:hAnsi="Arial" w:cs="Arial"/>
          <w:bCs/>
          <w:color w:val="000000"/>
          <w:sz w:val="22"/>
          <w:szCs w:val="22"/>
        </w:rPr>
        <w:t>handal</w:t>
      </w:r>
      <w:r w:rsidR="00C645DE">
        <w:rPr>
          <w:rFonts w:ascii="Arial" w:hAnsi="Arial" w:cs="Arial"/>
          <w:bCs/>
          <w:color w:val="000000"/>
          <w:sz w:val="22"/>
          <w:szCs w:val="22"/>
        </w:rPr>
        <w:t xml:space="preserve"> sebagai pengukur indikator penelitian</w:t>
      </w:r>
      <w:r w:rsidR="00C645DE" w:rsidRPr="00216D38">
        <w:rPr>
          <w:rFonts w:ascii="Arial" w:hAnsi="Arial" w:cs="Arial"/>
          <w:bCs/>
          <w:color w:val="000000"/>
          <w:sz w:val="22"/>
          <w:szCs w:val="22"/>
        </w:rPr>
        <w:t xml:space="preserve">. </w:t>
      </w:r>
    </w:p>
    <w:p w:rsidR="009B7DF8" w:rsidRDefault="009B7DF8" w:rsidP="00135169">
      <w:pPr>
        <w:spacing w:after="0" w:line="240" w:lineRule="auto"/>
        <w:jc w:val="center"/>
        <w:rPr>
          <w:rFonts w:ascii="Arial" w:hAnsi="Arial" w:cs="Arial"/>
          <w:b/>
          <w:bCs/>
          <w:color w:val="000000"/>
          <w:lang w:val="en-US"/>
        </w:rPr>
      </w:pPr>
    </w:p>
    <w:p w:rsidR="00135169" w:rsidRPr="00135169" w:rsidRDefault="004A65AB" w:rsidP="00135169">
      <w:pPr>
        <w:spacing w:after="0" w:line="240" w:lineRule="auto"/>
        <w:jc w:val="center"/>
        <w:rPr>
          <w:rFonts w:ascii="Arial" w:hAnsi="Arial" w:cs="Arial"/>
          <w:b/>
          <w:bCs/>
          <w:color w:val="000000"/>
          <w:lang w:val="en-US"/>
        </w:rPr>
      </w:pPr>
      <w:r>
        <w:rPr>
          <w:rFonts w:ascii="Arial" w:hAnsi="Arial" w:cs="Arial"/>
          <w:b/>
          <w:bCs/>
          <w:color w:val="000000"/>
          <w:lang w:val="en-US"/>
        </w:rPr>
        <w:t>Tabel 7</w:t>
      </w:r>
    </w:p>
    <w:p w:rsidR="001B65B7" w:rsidRDefault="001B65B7" w:rsidP="00135169">
      <w:pPr>
        <w:spacing w:after="0" w:line="240" w:lineRule="auto"/>
        <w:jc w:val="center"/>
        <w:rPr>
          <w:rFonts w:ascii="Arial" w:hAnsi="Arial" w:cs="Arial"/>
          <w:b/>
          <w:bCs/>
          <w:color w:val="000000"/>
          <w:lang w:val="en-US"/>
        </w:rPr>
      </w:pPr>
      <w:r w:rsidRPr="00135169">
        <w:rPr>
          <w:rFonts w:ascii="Arial" w:hAnsi="Arial" w:cs="Arial"/>
          <w:b/>
          <w:bCs/>
          <w:color w:val="000000"/>
          <w:lang w:val="en-US"/>
        </w:rPr>
        <w:t>Composite reliability coefficients</w:t>
      </w:r>
    </w:p>
    <w:tbl>
      <w:tblPr>
        <w:tblStyle w:val="TableGrid"/>
        <w:tblW w:w="0" w:type="auto"/>
        <w:tblLook w:val="04A0"/>
      </w:tblPr>
      <w:tblGrid>
        <w:gridCol w:w="1359"/>
        <w:gridCol w:w="1359"/>
        <w:gridCol w:w="1359"/>
        <w:gridCol w:w="1359"/>
        <w:gridCol w:w="1359"/>
        <w:gridCol w:w="1359"/>
      </w:tblGrid>
      <w:tr w:rsidR="005A3AC0" w:rsidTr="005A3AC0">
        <w:tc>
          <w:tcPr>
            <w:tcW w:w="1359" w:type="dxa"/>
          </w:tcPr>
          <w:p w:rsidR="005A3AC0" w:rsidRPr="005A3AC0" w:rsidRDefault="005A3AC0" w:rsidP="008E65D4">
            <w:pPr>
              <w:spacing w:after="0" w:line="240" w:lineRule="auto"/>
              <w:jc w:val="center"/>
              <w:rPr>
                <w:rFonts w:ascii="Arial" w:hAnsi="Arial" w:cs="Arial"/>
                <w:bCs/>
                <w:color w:val="000000"/>
                <w:sz w:val="20"/>
                <w:szCs w:val="20"/>
                <w:lang w:val="en-US"/>
              </w:rPr>
            </w:pPr>
            <w:r w:rsidRPr="005A3AC0">
              <w:rPr>
                <w:rFonts w:ascii="Arial" w:hAnsi="Arial" w:cs="Arial"/>
                <w:bCs/>
                <w:color w:val="000000"/>
                <w:sz w:val="20"/>
                <w:szCs w:val="20"/>
                <w:lang w:val="en-US"/>
              </w:rPr>
              <w:t>Usahatani</w:t>
            </w:r>
          </w:p>
        </w:tc>
        <w:tc>
          <w:tcPr>
            <w:tcW w:w="1359" w:type="dxa"/>
          </w:tcPr>
          <w:p w:rsidR="005A3AC0" w:rsidRPr="00BA7DC9" w:rsidRDefault="005A3AC0" w:rsidP="008E65D4">
            <w:pPr>
              <w:spacing w:after="0" w:line="240" w:lineRule="auto"/>
              <w:jc w:val="center"/>
              <w:rPr>
                <w:rFonts w:ascii="Arial" w:hAnsi="Arial" w:cs="Arial"/>
                <w:bCs/>
                <w:color w:val="000000"/>
                <w:sz w:val="20"/>
                <w:szCs w:val="20"/>
                <w:lang w:val="en-US"/>
              </w:rPr>
            </w:pPr>
            <w:r w:rsidRPr="00BA7DC9">
              <w:rPr>
                <w:rFonts w:ascii="Arial" w:hAnsi="Arial" w:cs="Arial"/>
                <w:bCs/>
                <w:color w:val="000000"/>
                <w:sz w:val="20"/>
                <w:szCs w:val="20"/>
                <w:lang w:val="en-US"/>
              </w:rPr>
              <w:t>NonFarm</w:t>
            </w:r>
          </w:p>
        </w:tc>
        <w:tc>
          <w:tcPr>
            <w:tcW w:w="1359" w:type="dxa"/>
          </w:tcPr>
          <w:p w:rsidR="005A3AC0" w:rsidRPr="00BA7DC9" w:rsidRDefault="005A3AC0" w:rsidP="008E65D4">
            <w:pPr>
              <w:spacing w:after="0" w:line="240" w:lineRule="auto"/>
              <w:jc w:val="center"/>
              <w:rPr>
                <w:rFonts w:ascii="Arial" w:hAnsi="Arial" w:cs="Arial"/>
                <w:bCs/>
                <w:color w:val="000000"/>
                <w:sz w:val="20"/>
                <w:szCs w:val="20"/>
                <w:lang w:val="en-US"/>
              </w:rPr>
            </w:pPr>
            <w:r w:rsidRPr="00BA7DC9">
              <w:rPr>
                <w:rFonts w:ascii="Arial" w:hAnsi="Arial" w:cs="Arial"/>
                <w:bCs/>
                <w:color w:val="000000"/>
                <w:sz w:val="20"/>
                <w:szCs w:val="20"/>
                <w:lang w:val="en-US"/>
              </w:rPr>
              <w:t>Belanja</w:t>
            </w:r>
          </w:p>
        </w:tc>
        <w:tc>
          <w:tcPr>
            <w:tcW w:w="1359" w:type="dxa"/>
          </w:tcPr>
          <w:p w:rsidR="005A3AC0" w:rsidRPr="00BA7DC9" w:rsidRDefault="005A3AC0" w:rsidP="008E65D4">
            <w:pPr>
              <w:spacing w:after="0" w:line="240" w:lineRule="auto"/>
              <w:jc w:val="center"/>
              <w:rPr>
                <w:rFonts w:ascii="Arial" w:hAnsi="Arial" w:cs="Arial"/>
                <w:bCs/>
                <w:color w:val="000000"/>
                <w:sz w:val="20"/>
                <w:szCs w:val="20"/>
                <w:lang w:val="en-US"/>
              </w:rPr>
            </w:pPr>
            <w:r w:rsidRPr="00BA7DC9">
              <w:rPr>
                <w:rFonts w:ascii="Arial" w:hAnsi="Arial" w:cs="Arial"/>
                <w:bCs/>
                <w:color w:val="000000"/>
                <w:sz w:val="20"/>
                <w:szCs w:val="20"/>
                <w:lang w:val="en-US"/>
              </w:rPr>
              <w:t>Konsumsi</w:t>
            </w:r>
          </w:p>
        </w:tc>
        <w:tc>
          <w:tcPr>
            <w:tcW w:w="1359" w:type="dxa"/>
          </w:tcPr>
          <w:p w:rsidR="005A3AC0" w:rsidRPr="00BA7DC9" w:rsidRDefault="005A3AC0" w:rsidP="008E65D4">
            <w:pPr>
              <w:spacing w:after="0" w:line="240" w:lineRule="auto"/>
              <w:jc w:val="center"/>
              <w:rPr>
                <w:rFonts w:ascii="Arial" w:hAnsi="Arial" w:cs="Arial"/>
                <w:bCs/>
                <w:color w:val="000000"/>
                <w:sz w:val="20"/>
                <w:szCs w:val="20"/>
                <w:lang w:val="en-US"/>
              </w:rPr>
            </w:pPr>
            <w:r w:rsidRPr="00BA7DC9">
              <w:rPr>
                <w:rFonts w:ascii="Arial" w:hAnsi="Arial" w:cs="Arial"/>
                <w:bCs/>
                <w:color w:val="000000"/>
                <w:sz w:val="20"/>
                <w:szCs w:val="20"/>
                <w:lang w:val="en-US"/>
              </w:rPr>
              <w:t>Jml_Kel</w:t>
            </w:r>
            <w:r>
              <w:rPr>
                <w:rFonts w:ascii="Arial" w:hAnsi="Arial" w:cs="Arial"/>
                <w:bCs/>
                <w:color w:val="000000"/>
                <w:sz w:val="20"/>
                <w:szCs w:val="20"/>
                <w:lang w:val="en-US"/>
              </w:rPr>
              <w:t>g</w:t>
            </w:r>
          </w:p>
        </w:tc>
        <w:tc>
          <w:tcPr>
            <w:tcW w:w="1359" w:type="dxa"/>
          </w:tcPr>
          <w:p w:rsidR="005A3AC0" w:rsidRPr="00BA7DC9" w:rsidRDefault="005A3AC0" w:rsidP="008E65D4">
            <w:pPr>
              <w:spacing w:after="0" w:line="240" w:lineRule="auto"/>
              <w:jc w:val="center"/>
              <w:rPr>
                <w:rFonts w:ascii="Arial" w:hAnsi="Arial" w:cs="Arial"/>
                <w:bCs/>
                <w:color w:val="000000"/>
                <w:sz w:val="20"/>
                <w:szCs w:val="20"/>
                <w:lang w:val="en-US"/>
              </w:rPr>
            </w:pPr>
            <w:r w:rsidRPr="00BA7DC9">
              <w:rPr>
                <w:rFonts w:ascii="Arial" w:hAnsi="Arial" w:cs="Arial"/>
                <w:bCs/>
                <w:color w:val="000000"/>
                <w:sz w:val="20"/>
                <w:szCs w:val="20"/>
                <w:lang w:val="en-US"/>
              </w:rPr>
              <w:t>Jml_Kel</w:t>
            </w:r>
            <w:r>
              <w:rPr>
                <w:rFonts w:ascii="Arial" w:hAnsi="Arial" w:cs="Arial"/>
                <w:bCs/>
                <w:color w:val="000000"/>
                <w:sz w:val="20"/>
                <w:szCs w:val="20"/>
                <w:lang w:val="en-US"/>
              </w:rPr>
              <w:t>g</w:t>
            </w:r>
          </w:p>
        </w:tc>
      </w:tr>
      <w:tr w:rsidR="005A3AC0" w:rsidTr="005A3AC0">
        <w:tc>
          <w:tcPr>
            <w:tcW w:w="1359" w:type="dxa"/>
          </w:tcPr>
          <w:p w:rsidR="005A3AC0" w:rsidRDefault="00A34BD8" w:rsidP="00135169">
            <w:pPr>
              <w:spacing w:after="0" w:line="240" w:lineRule="auto"/>
              <w:jc w:val="center"/>
              <w:rPr>
                <w:rFonts w:ascii="Arial" w:hAnsi="Arial" w:cs="Arial"/>
                <w:b/>
                <w:bCs/>
                <w:color w:val="000000"/>
                <w:lang w:val="en-US"/>
              </w:rPr>
            </w:pPr>
            <w:r>
              <w:rPr>
                <w:rFonts w:ascii="Arial" w:hAnsi="Arial" w:cs="Arial"/>
                <w:bCs/>
                <w:color w:val="000000"/>
                <w:sz w:val="20"/>
                <w:szCs w:val="20"/>
                <w:lang w:val="en-US"/>
              </w:rPr>
              <w:t>0,</w:t>
            </w:r>
            <w:r w:rsidR="005A3AC0" w:rsidRPr="005A3AC0">
              <w:rPr>
                <w:rFonts w:ascii="Arial" w:hAnsi="Arial" w:cs="Arial"/>
                <w:bCs/>
                <w:color w:val="000000"/>
                <w:sz w:val="20"/>
                <w:szCs w:val="20"/>
                <w:lang w:val="en-US"/>
              </w:rPr>
              <w:t>767</w:t>
            </w:r>
          </w:p>
        </w:tc>
        <w:tc>
          <w:tcPr>
            <w:tcW w:w="1359" w:type="dxa"/>
          </w:tcPr>
          <w:p w:rsidR="005A3AC0" w:rsidRDefault="00A34BD8" w:rsidP="00135169">
            <w:pPr>
              <w:spacing w:after="0" w:line="240" w:lineRule="auto"/>
              <w:jc w:val="center"/>
              <w:rPr>
                <w:rFonts w:ascii="Arial" w:hAnsi="Arial" w:cs="Arial"/>
                <w:b/>
                <w:bCs/>
                <w:color w:val="000000"/>
                <w:lang w:val="en-US"/>
              </w:rPr>
            </w:pPr>
            <w:r>
              <w:rPr>
                <w:rFonts w:ascii="Arial" w:hAnsi="Arial" w:cs="Arial"/>
                <w:bCs/>
                <w:color w:val="000000"/>
                <w:sz w:val="20"/>
                <w:szCs w:val="20"/>
                <w:lang w:val="en-US"/>
              </w:rPr>
              <w:t>0,</w:t>
            </w:r>
            <w:r w:rsidR="005A3AC0" w:rsidRPr="005A3AC0">
              <w:rPr>
                <w:rFonts w:ascii="Arial" w:hAnsi="Arial" w:cs="Arial"/>
                <w:bCs/>
                <w:color w:val="000000"/>
                <w:sz w:val="20"/>
                <w:szCs w:val="20"/>
                <w:lang w:val="en-US"/>
              </w:rPr>
              <w:t>636</w:t>
            </w:r>
          </w:p>
        </w:tc>
        <w:tc>
          <w:tcPr>
            <w:tcW w:w="1359" w:type="dxa"/>
          </w:tcPr>
          <w:p w:rsidR="005A3AC0" w:rsidRDefault="00A34BD8" w:rsidP="00135169">
            <w:pPr>
              <w:spacing w:after="0" w:line="240" w:lineRule="auto"/>
              <w:jc w:val="center"/>
              <w:rPr>
                <w:rFonts w:ascii="Arial" w:hAnsi="Arial" w:cs="Arial"/>
                <w:b/>
                <w:bCs/>
                <w:color w:val="000000"/>
                <w:lang w:val="en-US"/>
              </w:rPr>
            </w:pPr>
            <w:r>
              <w:rPr>
                <w:rFonts w:ascii="Arial" w:hAnsi="Arial" w:cs="Arial"/>
                <w:bCs/>
                <w:color w:val="000000"/>
                <w:sz w:val="20"/>
                <w:szCs w:val="20"/>
                <w:lang w:val="en-US"/>
              </w:rPr>
              <w:t>0,</w:t>
            </w:r>
            <w:r w:rsidR="005A3AC0" w:rsidRPr="005A3AC0">
              <w:rPr>
                <w:rFonts w:ascii="Arial" w:hAnsi="Arial" w:cs="Arial"/>
                <w:bCs/>
                <w:color w:val="000000"/>
                <w:sz w:val="20"/>
                <w:szCs w:val="20"/>
                <w:lang w:val="en-US"/>
              </w:rPr>
              <w:t>742</w:t>
            </w:r>
          </w:p>
        </w:tc>
        <w:tc>
          <w:tcPr>
            <w:tcW w:w="1359" w:type="dxa"/>
          </w:tcPr>
          <w:p w:rsidR="005A3AC0" w:rsidRDefault="00A34BD8" w:rsidP="00135169">
            <w:pPr>
              <w:spacing w:after="0" w:line="240" w:lineRule="auto"/>
              <w:jc w:val="center"/>
              <w:rPr>
                <w:rFonts w:ascii="Arial" w:hAnsi="Arial" w:cs="Arial"/>
                <w:b/>
                <w:bCs/>
                <w:color w:val="000000"/>
                <w:lang w:val="en-US"/>
              </w:rPr>
            </w:pPr>
            <w:r>
              <w:rPr>
                <w:rFonts w:ascii="Arial" w:hAnsi="Arial" w:cs="Arial"/>
                <w:bCs/>
                <w:color w:val="000000"/>
                <w:sz w:val="20"/>
                <w:szCs w:val="20"/>
                <w:lang w:val="en-US"/>
              </w:rPr>
              <w:t>0,</w:t>
            </w:r>
            <w:r w:rsidR="005A3AC0" w:rsidRPr="005A3AC0">
              <w:rPr>
                <w:rFonts w:ascii="Arial" w:hAnsi="Arial" w:cs="Arial"/>
                <w:bCs/>
                <w:color w:val="000000"/>
                <w:sz w:val="20"/>
                <w:szCs w:val="20"/>
                <w:lang w:val="en-US"/>
              </w:rPr>
              <w:t>694</w:t>
            </w:r>
          </w:p>
        </w:tc>
        <w:tc>
          <w:tcPr>
            <w:tcW w:w="1359" w:type="dxa"/>
          </w:tcPr>
          <w:p w:rsidR="005A3AC0" w:rsidRDefault="00A34BD8" w:rsidP="00135169">
            <w:pPr>
              <w:spacing w:after="0" w:line="240" w:lineRule="auto"/>
              <w:jc w:val="center"/>
              <w:rPr>
                <w:rFonts w:ascii="Arial" w:hAnsi="Arial" w:cs="Arial"/>
                <w:b/>
                <w:bCs/>
                <w:color w:val="000000"/>
                <w:lang w:val="en-US"/>
              </w:rPr>
            </w:pPr>
            <w:r>
              <w:rPr>
                <w:rFonts w:ascii="Arial" w:hAnsi="Arial" w:cs="Arial"/>
                <w:bCs/>
                <w:color w:val="000000"/>
                <w:sz w:val="20"/>
                <w:szCs w:val="20"/>
                <w:lang w:val="en-US"/>
              </w:rPr>
              <w:t>1,</w:t>
            </w:r>
            <w:r w:rsidR="005A3AC0" w:rsidRPr="005A3AC0">
              <w:rPr>
                <w:rFonts w:ascii="Arial" w:hAnsi="Arial" w:cs="Arial"/>
                <w:bCs/>
                <w:color w:val="000000"/>
                <w:sz w:val="20"/>
                <w:szCs w:val="20"/>
                <w:lang w:val="en-US"/>
              </w:rPr>
              <w:t>000</w:t>
            </w:r>
          </w:p>
        </w:tc>
        <w:tc>
          <w:tcPr>
            <w:tcW w:w="1359" w:type="dxa"/>
          </w:tcPr>
          <w:p w:rsidR="005A3AC0" w:rsidRPr="005A3AC0" w:rsidRDefault="00A34BD8"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0,</w:t>
            </w:r>
            <w:r w:rsidR="005A3AC0" w:rsidRPr="005A3AC0">
              <w:rPr>
                <w:rFonts w:ascii="Arial" w:hAnsi="Arial" w:cs="Arial"/>
                <w:bCs/>
                <w:color w:val="000000"/>
                <w:sz w:val="20"/>
                <w:szCs w:val="20"/>
                <w:lang w:val="en-US"/>
              </w:rPr>
              <w:t>784</w:t>
            </w:r>
          </w:p>
        </w:tc>
      </w:tr>
    </w:tbl>
    <w:p w:rsidR="006C72E0" w:rsidRDefault="006C72E0" w:rsidP="006C72E0">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5A3AC0" w:rsidRPr="00135169" w:rsidRDefault="005A3AC0" w:rsidP="00135169">
      <w:pPr>
        <w:spacing w:after="0" w:line="240" w:lineRule="auto"/>
        <w:jc w:val="center"/>
        <w:rPr>
          <w:rFonts w:ascii="Arial" w:hAnsi="Arial" w:cs="Arial"/>
          <w:b/>
          <w:bCs/>
          <w:color w:val="000000"/>
          <w:lang w:val="en-US"/>
        </w:rPr>
      </w:pPr>
    </w:p>
    <w:p w:rsidR="002E6346" w:rsidRDefault="002E6346" w:rsidP="002E6346">
      <w:pPr>
        <w:pStyle w:val="NoSpacing"/>
        <w:ind w:firstLine="709"/>
        <w:jc w:val="both"/>
        <w:rPr>
          <w:rFonts w:ascii="Arial" w:hAnsi="Arial" w:cs="Arial"/>
          <w:bCs/>
          <w:color w:val="000000"/>
          <w:sz w:val="22"/>
          <w:szCs w:val="22"/>
        </w:rPr>
      </w:pPr>
      <w:r>
        <w:rPr>
          <w:rFonts w:ascii="Arial" w:hAnsi="Arial" w:cs="Arial"/>
          <w:bCs/>
          <w:color w:val="000000"/>
          <w:sz w:val="22"/>
          <w:szCs w:val="22"/>
        </w:rPr>
        <w:t xml:space="preserve">Indikator karbohidrat selain beras dan susu sudah dihitung dan dimasukkan dalam model PLS. Data konsumsi bahan pangan tersebut dihitung dalam data </w:t>
      </w:r>
      <w:r w:rsidRPr="00BC6114">
        <w:rPr>
          <w:rFonts w:ascii="Arial" w:hAnsi="Arial" w:cs="Arial"/>
          <w:bCs/>
          <w:i/>
          <w:color w:val="000000"/>
          <w:sz w:val="22"/>
          <w:szCs w:val="22"/>
        </w:rPr>
        <w:t>recall</w:t>
      </w:r>
      <w:r>
        <w:rPr>
          <w:rFonts w:ascii="Arial" w:hAnsi="Arial" w:cs="Arial"/>
          <w:bCs/>
          <w:color w:val="000000"/>
          <w:sz w:val="22"/>
          <w:szCs w:val="22"/>
        </w:rPr>
        <w:t xml:space="preserve"> konsumsi</w:t>
      </w:r>
      <w:r w:rsidR="00BC6114">
        <w:rPr>
          <w:rFonts w:ascii="Arial" w:hAnsi="Arial" w:cs="Arial"/>
          <w:bCs/>
          <w:color w:val="000000"/>
          <w:sz w:val="22"/>
          <w:szCs w:val="22"/>
        </w:rPr>
        <w:t xml:space="preserve"> pangan</w:t>
      </w:r>
      <w:r>
        <w:rPr>
          <w:rFonts w:ascii="Arial" w:hAnsi="Arial" w:cs="Arial"/>
          <w:bCs/>
          <w:color w:val="000000"/>
          <w:sz w:val="22"/>
          <w:szCs w:val="22"/>
        </w:rPr>
        <w:t xml:space="preserve"> dan alokasi belanja rumahtangga. Namun dalam model PLS bahan pangan tersebut tidak valid, sehingga dikeluarkan dari model. Penjelasan yang dapat diberikan adalah data lapang menunjukkan bahwa jumlah konsumsi pangan tersebut terlalu kecil. </w:t>
      </w:r>
    </w:p>
    <w:p w:rsidR="00F97365" w:rsidRDefault="002E6346" w:rsidP="002E6346">
      <w:pPr>
        <w:pStyle w:val="NoSpacing"/>
        <w:ind w:firstLine="709"/>
        <w:jc w:val="both"/>
        <w:rPr>
          <w:rFonts w:ascii="Arial" w:hAnsi="Arial" w:cs="Arial"/>
          <w:bCs/>
          <w:color w:val="000000"/>
          <w:sz w:val="22"/>
          <w:szCs w:val="22"/>
        </w:rPr>
      </w:pPr>
      <w:r>
        <w:rPr>
          <w:rFonts w:ascii="Arial" w:hAnsi="Arial" w:cs="Arial"/>
          <w:bCs/>
          <w:color w:val="000000"/>
          <w:sz w:val="22"/>
          <w:szCs w:val="22"/>
        </w:rPr>
        <w:t>Konsumsi karbohidrat selain beras terlalu kecil karena masyarakat menganggap bahwa beras adalah bahan makanan pokok. Sedangkan konsumsi susu terlalu kecil karena harganya terlalu mahal, sehingga hanya rumahtangga yang mempunyai anak BALITA dan berpendapatan cukup yang memprioritaskan membeli susu.</w:t>
      </w:r>
      <w:r w:rsidR="00FD070B">
        <w:rPr>
          <w:rFonts w:ascii="Arial" w:hAnsi="Arial" w:cs="Arial"/>
          <w:bCs/>
          <w:color w:val="000000"/>
          <w:sz w:val="22"/>
          <w:szCs w:val="22"/>
        </w:rPr>
        <w:t xml:space="preserve"> </w:t>
      </w:r>
      <w:r w:rsidR="00F97365">
        <w:rPr>
          <w:rFonts w:ascii="Arial" w:hAnsi="Arial" w:cs="Arial"/>
          <w:bCs/>
          <w:color w:val="000000"/>
          <w:sz w:val="22"/>
          <w:szCs w:val="22"/>
        </w:rPr>
        <w:t>Indikator jenis pangan yang konsumsinya terlalu rendah dan tidak dikonsumsi seluruh rumahtangga sampel mengakibatkan indikator tidak valid dalam model PLS yang digunakan. Oleh karena itu indikator jenis pangan yang valid yang dimasukkan dalam variabel laten.</w:t>
      </w:r>
    </w:p>
    <w:p w:rsidR="001B65B7" w:rsidRDefault="00C645DE" w:rsidP="00C645DE">
      <w:pPr>
        <w:spacing w:after="0" w:line="240" w:lineRule="auto"/>
        <w:ind w:firstLine="709"/>
        <w:jc w:val="both"/>
        <w:rPr>
          <w:rFonts w:ascii="Arial" w:hAnsi="Arial" w:cs="Arial"/>
          <w:bCs/>
          <w:color w:val="000000"/>
          <w:lang w:val="en-US"/>
        </w:rPr>
      </w:pPr>
      <w:r>
        <w:rPr>
          <w:rFonts w:ascii="Arial" w:hAnsi="Arial" w:cs="Arial"/>
          <w:bCs/>
          <w:color w:val="000000"/>
          <w:lang w:val="en-US"/>
        </w:rPr>
        <w:t xml:space="preserve">Tahap kriteriia model PLS selanjutnya adalah ketepatan </w:t>
      </w:r>
      <w:r w:rsidR="004A65AB">
        <w:rPr>
          <w:rFonts w:ascii="Arial" w:hAnsi="Arial" w:cs="Arial"/>
          <w:bCs/>
          <w:color w:val="000000"/>
          <w:lang w:val="en-US"/>
        </w:rPr>
        <w:t>model (</w:t>
      </w:r>
      <w:r w:rsidR="004A65AB" w:rsidRPr="00FD070B">
        <w:rPr>
          <w:rFonts w:ascii="Arial" w:hAnsi="Arial" w:cs="Arial"/>
          <w:bCs/>
          <w:i/>
          <w:color w:val="000000"/>
          <w:lang w:val="en-US"/>
        </w:rPr>
        <w:t>Goodness of Fit</w:t>
      </w:r>
      <w:r w:rsidR="004A65AB">
        <w:rPr>
          <w:rFonts w:ascii="Arial" w:hAnsi="Arial" w:cs="Arial"/>
          <w:bCs/>
          <w:color w:val="000000"/>
          <w:lang w:val="en-US"/>
        </w:rPr>
        <w:t>). Tabel 8</w:t>
      </w:r>
      <w:r>
        <w:rPr>
          <w:rFonts w:ascii="Arial" w:hAnsi="Arial" w:cs="Arial"/>
          <w:bCs/>
          <w:color w:val="000000"/>
          <w:lang w:val="en-US"/>
        </w:rPr>
        <w:t xml:space="preserve"> menunjukkan bahwa empat kriteria uji penting dalam model PLS-SEM memenuhi signifikansi kurang dari satu persen. Rata-rata Rata-rata Koefisien Path sebesar 0,295 dan sangat signifikan. Artinya, model PLS-SEM mempunyai pengaruh terhadap konsumsi pangan keluarga petani sebesar 29,5%. Kriterian lainnya yakni </w:t>
      </w:r>
      <w:r w:rsidRPr="001B65B7">
        <w:rPr>
          <w:rFonts w:ascii="Arial" w:hAnsi="Arial" w:cs="Arial"/>
          <w:bCs/>
          <w:color w:val="000000"/>
          <w:lang w:val="en-US"/>
        </w:rPr>
        <w:t>AARS</w:t>
      </w:r>
      <w:r>
        <w:rPr>
          <w:rFonts w:ascii="Arial" w:hAnsi="Arial" w:cs="Arial"/>
          <w:bCs/>
          <w:color w:val="000000"/>
          <w:lang w:val="en-US"/>
        </w:rPr>
        <w:t xml:space="preserve"> menunjukkan bahwa variabel exogenus mampun menjelaskan variabel endogenus sebesar 28,4%. Kriteria uji </w:t>
      </w:r>
      <w:r w:rsidRPr="001B65B7">
        <w:rPr>
          <w:rFonts w:ascii="Arial" w:hAnsi="Arial" w:cs="Arial"/>
          <w:bCs/>
          <w:color w:val="000000"/>
          <w:lang w:val="en-US"/>
        </w:rPr>
        <w:t>AVIF</w:t>
      </w:r>
      <w:r>
        <w:rPr>
          <w:rFonts w:ascii="Arial" w:hAnsi="Arial" w:cs="Arial"/>
          <w:bCs/>
          <w:color w:val="000000"/>
          <w:lang w:val="en-US"/>
        </w:rPr>
        <w:t xml:space="preserve"> menunjukkan bahwa mo</w:t>
      </w:r>
      <w:r w:rsidR="003D17F4">
        <w:rPr>
          <w:rFonts w:ascii="Arial" w:hAnsi="Arial" w:cs="Arial"/>
          <w:bCs/>
          <w:color w:val="000000"/>
          <w:lang w:val="en-US"/>
        </w:rPr>
        <w:t xml:space="preserve">del yang didesain tidak </w:t>
      </w:r>
      <w:r w:rsidR="00A34BD8">
        <w:rPr>
          <w:rFonts w:ascii="Arial" w:hAnsi="Arial" w:cs="Arial"/>
          <w:bCs/>
          <w:color w:val="000000"/>
          <w:lang w:val="en-US"/>
        </w:rPr>
        <w:t>terjadi</w:t>
      </w:r>
      <w:r>
        <w:rPr>
          <w:rFonts w:ascii="Arial" w:hAnsi="Arial" w:cs="Arial"/>
          <w:bCs/>
          <w:color w:val="000000"/>
          <w:lang w:val="en-US"/>
        </w:rPr>
        <w:t xml:space="preserve"> multikolinieritas.</w:t>
      </w:r>
    </w:p>
    <w:p w:rsidR="00135169" w:rsidRPr="00135169" w:rsidRDefault="004A65AB" w:rsidP="00135169">
      <w:pPr>
        <w:spacing w:after="0" w:line="240" w:lineRule="auto"/>
        <w:jc w:val="center"/>
        <w:rPr>
          <w:rFonts w:ascii="Arial" w:hAnsi="Arial" w:cs="Arial"/>
          <w:b/>
          <w:bCs/>
          <w:color w:val="000000"/>
          <w:lang w:val="en-US"/>
        </w:rPr>
      </w:pPr>
      <w:r>
        <w:rPr>
          <w:rFonts w:ascii="Arial" w:hAnsi="Arial" w:cs="Arial"/>
          <w:b/>
          <w:bCs/>
          <w:color w:val="000000"/>
          <w:lang w:val="en-US"/>
        </w:rPr>
        <w:t>Tabel 8</w:t>
      </w:r>
    </w:p>
    <w:p w:rsidR="001B65B7" w:rsidRPr="00135169" w:rsidRDefault="001B65B7" w:rsidP="00135169">
      <w:pPr>
        <w:spacing w:after="0" w:line="240" w:lineRule="auto"/>
        <w:jc w:val="center"/>
        <w:rPr>
          <w:rFonts w:ascii="Arial" w:hAnsi="Arial" w:cs="Arial"/>
          <w:b/>
          <w:bCs/>
          <w:color w:val="000000"/>
          <w:lang w:val="en-US"/>
        </w:rPr>
      </w:pPr>
      <w:r w:rsidRPr="00135169">
        <w:rPr>
          <w:rFonts w:ascii="Arial" w:hAnsi="Arial" w:cs="Arial"/>
          <w:b/>
          <w:bCs/>
          <w:color w:val="000000"/>
          <w:lang w:val="en-US"/>
        </w:rPr>
        <w:t>Goodness of fit</w:t>
      </w:r>
    </w:p>
    <w:tbl>
      <w:tblPr>
        <w:tblStyle w:val="TableGrid"/>
        <w:tblW w:w="0" w:type="auto"/>
        <w:tblLook w:val="04A0"/>
      </w:tblPr>
      <w:tblGrid>
        <w:gridCol w:w="4219"/>
        <w:gridCol w:w="1701"/>
        <w:gridCol w:w="2234"/>
      </w:tblGrid>
      <w:tr w:rsidR="005A3AC0" w:rsidRPr="004A65AB" w:rsidTr="006C72E0">
        <w:tc>
          <w:tcPr>
            <w:tcW w:w="4219" w:type="dxa"/>
          </w:tcPr>
          <w:p w:rsidR="005A3AC0" w:rsidRPr="004A65AB" w:rsidRDefault="005A3AC0" w:rsidP="005A3AC0">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Kriteria</w:t>
            </w:r>
          </w:p>
        </w:tc>
        <w:tc>
          <w:tcPr>
            <w:tcW w:w="1701" w:type="dxa"/>
          </w:tcPr>
          <w:p w:rsidR="005A3AC0" w:rsidRPr="004A65AB" w:rsidRDefault="005A3AC0" w:rsidP="005A3AC0">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Hasil analisis</w:t>
            </w:r>
          </w:p>
        </w:tc>
        <w:tc>
          <w:tcPr>
            <w:tcW w:w="2234" w:type="dxa"/>
          </w:tcPr>
          <w:p w:rsidR="005A3AC0" w:rsidRPr="004A65AB" w:rsidRDefault="005A3AC0" w:rsidP="005A3AC0">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Signifikansi</w:t>
            </w:r>
          </w:p>
        </w:tc>
      </w:tr>
      <w:tr w:rsidR="005A3AC0" w:rsidRPr="004A65AB" w:rsidTr="006C72E0">
        <w:tc>
          <w:tcPr>
            <w:tcW w:w="4219" w:type="dxa"/>
          </w:tcPr>
          <w:p w:rsidR="005A3AC0" w:rsidRPr="004A65AB" w:rsidRDefault="005A3AC0" w:rsidP="005A3AC0">
            <w:pPr>
              <w:spacing w:after="0" w:line="240" w:lineRule="auto"/>
              <w:jc w:val="both"/>
              <w:rPr>
                <w:rFonts w:ascii="Arial" w:hAnsi="Arial" w:cs="Arial"/>
                <w:bCs/>
                <w:color w:val="000000"/>
                <w:sz w:val="20"/>
                <w:szCs w:val="20"/>
                <w:lang w:val="en-US"/>
              </w:rPr>
            </w:pPr>
            <w:r w:rsidRPr="004A65AB">
              <w:rPr>
                <w:rFonts w:ascii="Arial" w:hAnsi="Arial" w:cs="Arial"/>
                <w:bCs/>
                <w:color w:val="000000"/>
                <w:sz w:val="20"/>
                <w:szCs w:val="20"/>
                <w:lang w:val="en-US"/>
              </w:rPr>
              <w:t>Average path coefficient (APC</w:t>
            </w:r>
          </w:p>
        </w:tc>
        <w:tc>
          <w:tcPr>
            <w:tcW w:w="1701" w:type="dxa"/>
          </w:tcPr>
          <w:p w:rsidR="005A3AC0" w:rsidRPr="004A65AB" w:rsidRDefault="00A34BD8"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0,</w:t>
            </w:r>
            <w:r w:rsidR="005A3AC0" w:rsidRPr="004A65AB">
              <w:rPr>
                <w:rFonts w:ascii="Arial" w:hAnsi="Arial" w:cs="Arial"/>
                <w:bCs/>
                <w:color w:val="000000"/>
                <w:sz w:val="20"/>
                <w:szCs w:val="20"/>
                <w:lang w:val="en-US"/>
              </w:rPr>
              <w:t>295</w:t>
            </w:r>
          </w:p>
        </w:tc>
        <w:tc>
          <w:tcPr>
            <w:tcW w:w="2234" w:type="dxa"/>
          </w:tcPr>
          <w:p w:rsidR="005A3AC0" w:rsidRPr="004A65AB" w:rsidRDefault="00F72955"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P&lt;0,</w:t>
            </w:r>
            <w:r w:rsidR="005A3AC0" w:rsidRPr="004A65AB">
              <w:rPr>
                <w:rFonts w:ascii="Arial" w:hAnsi="Arial" w:cs="Arial"/>
                <w:bCs/>
                <w:color w:val="000000"/>
                <w:sz w:val="20"/>
                <w:szCs w:val="20"/>
                <w:lang w:val="en-US"/>
              </w:rPr>
              <w:t>001</w:t>
            </w:r>
          </w:p>
        </w:tc>
      </w:tr>
      <w:tr w:rsidR="005A3AC0" w:rsidRPr="004A65AB" w:rsidTr="006C72E0">
        <w:tc>
          <w:tcPr>
            <w:tcW w:w="4219" w:type="dxa"/>
          </w:tcPr>
          <w:p w:rsidR="005A3AC0" w:rsidRPr="004A65AB" w:rsidRDefault="005A3AC0" w:rsidP="005A3AC0">
            <w:pPr>
              <w:spacing w:after="0" w:line="240" w:lineRule="auto"/>
              <w:jc w:val="both"/>
              <w:rPr>
                <w:rFonts w:ascii="Arial" w:hAnsi="Arial" w:cs="Arial"/>
                <w:bCs/>
                <w:color w:val="000000"/>
                <w:sz w:val="20"/>
                <w:szCs w:val="20"/>
                <w:lang w:val="en-US"/>
              </w:rPr>
            </w:pPr>
            <w:r w:rsidRPr="004A65AB">
              <w:rPr>
                <w:rFonts w:ascii="Arial" w:hAnsi="Arial" w:cs="Arial"/>
                <w:bCs/>
                <w:color w:val="000000"/>
                <w:sz w:val="20"/>
                <w:szCs w:val="20"/>
                <w:lang w:val="en-US"/>
              </w:rPr>
              <w:t>Average R-squared (ARS)</w:t>
            </w:r>
          </w:p>
        </w:tc>
        <w:tc>
          <w:tcPr>
            <w:tcW w:w="1701" w:type="dxa"/>
          </w:tcPr>
          <w:p w:rsidR="005A3AC0" w:rsidRPr="004A65AB" w:rsidRDefault="00A34BD8"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0,</w:t>
            </w:r>
            <w:r w:rsidR="005A3AC0" w:rsidRPr="004A65AB">
              <w:rPr>
                <w:rFonts w:ascii="Arial" w:hAnsi="Arial" w:cs="Arial"/>
                <w:bCs/>
                <w:color w:val="000000"/>
                <w:sz w:val="20"/>
                <w:szCs w:val="20"/>
                <w:lang w:val="en-US"/>
              </w:rPr>
              <w:t>298</w:t>
            </w:r>
          </w:p>
        </w:tc>
        <w:tc>
          <w:tcPr>
            <w:tcW w:w="2234" w:type="dxa"/>
          </w:tcPr>
          <w:p w:rsidR="005A3AC0" w:rsidRPr="004A65AB" w:rsidRDefault="00F72955"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P&lt;0,</w:t>
            </w:r>
            <w:r w:rsidR="005A3AC0" w:rsidRPr="004A65AB">
              <w:rPr>
                <w:rFonts w:ascii="Arial" w:hAnsi="Arial" w:cs="Arial"/>
                <w:bCs/>
                <w:color w:val="000000"/>
                <w:sz w:val="20"/>
                <w:szCs w:val="20"/>
                <w:lang w:val="en-US"/>
              </w:rPr>
              <w:t>001</w:t>
            </w:r>
          </w:p>
        </w:tc>
      </w:tr>
      <w:tr w:rsidR="005A3AC0" w:rsidRPr="004A65AB" w:rsidTr="006C72E0">
        <w:tc>
          <w:tcPr>
            <w:tcW w:w="4219" w:type="dxa"/>
          </w:tcPr>
          <w:p w:rsidR="005A3AC0" w:rsidRPr="004A65AB" w:rsidRDefault="005A3AC0" w:rsidP="005A3AC0">
            <w:pPr>
              <w:spacing w:after="0" w:line="240" w:lineRule="auto"/>
              <w:jc w:val="both"/>
              <w:rPr>
                <w:rFonts w:ascii="Arial" w:hAnsi="Arial" w:cs="Arial"/>
                <w:bCs/>
                <w:color w:val="000000"/>
                <w:sz w:val="20"/>
                <w:szCs w:val="20"/>
                <w:lang w:val="en-US"/>
              </w:rPr>
            </w:pPr>
            <w:r w:rsidRPr="004A65AB">
              <w:rPr>
                <w:rFonts w:ascii="Arial" w:hAnsi="Arial" w:cs="Arial"/>
                <w:bCs/>
                <w:color w:val="000000"/>
                <w:sz w:val="20"/>
                <w:szCs w:val="20"/>
                <w:lang w:val="en-US"/>
              </w:rPr>
              <w:t>Average adjusted R-squared (AARS)</w:t>
            </w:r>
          </w:p>
        </w:tc>
        <w:tc>
          <w:tcPr>
            <w:tcW w:w="1701" w:type="dxa"/>
          </w:tcPr>
          <w:p w:rsidR="005A3AC0" w:rsidRPr="004A65AB" w:rsidRDefault="00A34BD8"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0,</w:t>
            </w:r>
            <w:r w:rsidR="005A3AC0" w:rsidRPr="004A65AB">
              <w:rPr>
                <w:rFonts w:ascii="Arial" w:hAnsi="Arial" w:cs="Arial"/>
                <w:bCs/>
                <w:color w:val="000000"/>
                <w:sz w:val="20"/>
                <w:szCs w:val="20"/>
                <w:lang w:val="en-US"/>
              </w:rPr>
              <w:t>284</w:t>
            </w:r>
          </w:p>
        </w:tc>
        <w:tc>
          <w:tcPr>
            <w:tcW w:w="2234" w:type="dxa"/>
          </w:tcPr>
          <w:p w:rsidR="005A3AC0" w:rsidRPr="004A65AB" w:rsidRDefault="00F72955"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P&lt;0,</w:t>
            </w:r>
            <w:r w:rsidR="005A3AC0" w:rsidRPr="004A65AB">
              <w:rPr>
                <w:rFonts w:ascii="Arial" w:hAnsi="Arial" w:cs="Arial"/>
                <w:bCs/>
                <w:color w:val="000000"/>
                <w:sz w:val="20"/>
                <w:szCs w:val="20"/>
                <w:lang w:val="en-US"/>
              </w:rPr>
              <w:t>001</w:t>
            </w:r>
          </w:p>
        </w:tc>
      </w:tr>
      <w:tr w:rsidR="005A3AC0" w:rsidRPr="004A65AB" w:rsidTr="006C72E0">
        <w:tc>
          <w:tcPr>
            <w:tcW w:w="4219" w:type="dxa"/>
          </w:tcPr>
          <w:p w:rsidR="005A3AC0" w:rsidRPr="004A65AB" w:rsidRDefault="005A3AC0" w:rsidP="005A3AC0">
            <w:pPr>
              <w:spacing w:after="0" w:line="240" w:lineRule="auto"/>
              <w:jc w:val="both"/>
              <w:rPr>
                <w:rFonts w:ascii="Arial" w:hAnsi="Arial" w:cs="Arial"/>
                <w:bCs/>
                <w:color w:val="000000"/>
                <w:sz w:val="20"/>
                <w:szCs w:val="20"/>
                <w:lang w:val="en-US"/>
              </w:rPr>
            </w:pPr>
            <w:r w:rsidRPr="004A65AB">
              <w:rPr>
                <w:rFonts w:ascii="Arial" w:hAnsi="Arial" w:cs="Arial"/>
                <w:bCs/>
                <w:color w:val="000000"/>
                <w:sz w:val="20"/>
                <w:szCs w:val="20"/>
                <w:lang w:val="en-US"/>
              </w:rPr>
              <w:t>Average block VIF (AVIF)</w:t>
            </w:r>
          </w:p>
        </w:tc>
        <w:tc>
          <w:tcPr>
            <w:tcW w:w="1701" w:type="dxa"/>
          </w:tcPr>
          <w:p w:rsidR="005A3AC0" w:rsidRPr="004A65AB" w:rsidRDefault="005A3AC0" w:rsidP="00A34BD8">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1</w:t>
            </w:r>
            <w:r w:rsidR="00A34BD8">
              <w:rPr>
                <w:rFonts w:ascii="Arial" w:hAnsi="Arial" w:cs="Arial"/>
                <w:bCs/>
                <w:color w:val="000000"/>
                <w:sz w:val="20"/>
                <w:szCs w:val="20"/>
                <w:lang w:val="en-US"/>
              </w:rPr>
              <w:t>,</w:t>
            </w:r>
            <w:r w:rsidRPr="004A65AB">
              <w:rPr>
                <w:rFonts w:ascii="Arial" w:hAnsi="Arial" w:cs="Arial"/>
                <w:bCs/>
                <w:color w:val="000000"/>
                <w:sz w:val="20"/>
                <w:szCs w:val="20"/>
                <w:lang w:val="en-US"/>
              </w:rPr>
              <w:t>158</w:t>
            </w:r>
          </w:p>
        </w:tc>
        <w:tc>
          <w:tcPr>
            <w:tcW w:w="2234" w:type="dxa"/>
          </w:tcPr>
          <w:p w:rsidR="005A3AC0" w:rsidRPr="004A65AB" w:rsidRDefault="005A3AC0" w:rsidP="005A3AC0">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acceptable if &lt;= 5</w:t>
            </w:r>
          </w:p>
          <w:p w:rsidR="005A3AC0" w:rsidRPr="004A65AB" w:rsidRDefault="00F72955" w:rsidP="005A3AC0">
            <w:pPr>
              <w:spacing w:after="0" w:line="240" w:lineRule="auto"/>
              <w:jc w:val="center"/>
              <w:rPr>
                <w:rFonts w:ascii="Arial" w:hAnsi="Arial" w:cs="Arial"/>
                <w:bCs/>
                <w:color w:val="000000"/>
                <w:sz w:val="20"/>
                <w:szCs w:val="20"/>
                <w:lang w:val="en-US"/>
              </w:rPr>
            </w:pPr>
            <w:r>
              <w:rPr>
                <w:rFonts w:ascii="Arial" w:hAnsi="Arial" w:cs="Arial"/>
                <w:bCs/>
                <w:color w:val="000000"/>
                <w:sz w:val="20"/>
                <w:szCs w:val="20"/>
                <w:lang w:val="en-US"/>
              </w:rPr>
              <w:t>ideally &lt;= 3.</w:t>
            </w:r>
            <w:r w:rsidR="005A3AC0" w:rsidRPr="004A65AB">
              <w:rPr>
                <w:rFonts w:ascii="Arial" w:hAnsi="Arial" w:cs="Arial"/>
                <w:bCs/>
                <w:color w:val="000000"/>
                <w:sz w:val="20"/>
                <w:szCs w:val="20"/>
                <w:lang w:val="en-US"/>
              </w:rPr>
              <w:t>3</w:t>
            </w:r>
          </w:p>
        </w:tc>
      </w:tr>
    </w:tbl>
    <w:p w:rsidR="006C72E0" w:rsidRDefault="006C72E0" w:rsidP="006C72E0">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4A65AB" w:rsidRDefault="004A65AB" w:rsidP="006E0ED7">
      <w:pPr>
        <w:pStyle w:val="NoSpacing"/>
        <w:ind w:firstLine="709"/>
        <w:jc w:val="both"/>
        <w:rPr>
          <w:rFonts w:ascii="Arial" w:hAnsi="Arial" w:cs="Arial"/>
          <w:bCs/>
          <w:color w:val="000000"/>
          <w:sz w:val="22"/>
          <w:szCs w:val="22"/>
        </w:rPr>
      </w:pPr>
    </w:p>
    <w:p w:rsidR="009B7DF8" w:rsidRPr="00216D38" w:rsidRDefault="00C645DE" w:rsidP="00A34BD8">
      <w:pPr>
        <w:pStyle w:val="NoSpacing"/>
        <w:ind w:firstLine="709"/>
        <w:jc w:val="both"/>
        <w:rPr>
          <w:rFonts w:ascii="Arial" w:hAnsi="Arial" w:cs="Arial"/>
          <w:bCs/>
          <w:color w:val="000000"/>
          <w:sz w:val="22"/>
          <w:szCs w:val="22"/>
        </w:rPr>
      </w:pPr>
      <w:r>
        <w:rPr>
          <w:rFonts w:ascii="Arial" w:hAnsi="Arial" w:cs="Arial"/>
          <w:bCs/>
          <w:color w:val="000000"/>
          <w:sz w:val="22"/>
          <w:szCs w:val="22"/>
        </w:rPr>
        <w:t>Hubungan antara variabel laten secara visual diekspresikan dengan Model PLS-SEM pada Gambar 2</w:t>
      </w:r>
      <w:r w:rsidR="00A34BD8">
        <w:rPr>
          <w:rFonts w:ascii="Arial" w:hAnsi="Arial" w:cs="Arial"/>
          <w:bCs/>
          <w:color w:val="000000"/>
          <w:sz w:val="22"/>
          <w:szCs w:val="22"/>
        </w:rPr>
        <w:t xml:space="preserve"> dan</w:t>
      </w:r>
      <w:r w:rsidR="004A65AB">
        <w:rPr>
          <w:rFonts w:ascii="Arial" w:hAnsi="Arial" w:cs="Arial"/>
          <w:bCs/>
          <w:color w:val="000000"/>
          <w:sz w:val="22"/>
          <w:szCs w:val="22"/>
        </w:rPr>
        <w:t xml:space="preserve"> dijelaskan pada Tabel 9</w:t>
      </w:r>
      <w:r w:rsidR="006E0ED7">
        <w:rPr>
          <w:rFonts w:ascii="Arial" w:hAnsi="Arial" w:cs="Arial"/>
          <w:bCs/>
          <w:color w:val="000000"/>
          <w:sz w:val="22"/>
          <w:szCs w:val="22"/>
        </w:rPr>
        <w:t>.</w:t>
      </w:r>
      <w:r w:rsidR="009B7DF8">
        <w:rPr>
          <w:rFonts w:ascii="Arial" w:hAnsi="Arial" w:cs="Arial"/>
          <w:bCs/>
          <w:color w:val="000000"/>
          <w:sz w:val="22"/>
          <w:szCs w:val="22"/>
        </w:rPr>
        <w:t xml:space="preserve"> Pembahasan hasil PLS-SEM difokusikan pada pengujian hipotesis penelitian. </w:t>
      </w:r>
      <w:r w:rsidR="00A34BD8">
        <w:rPr>
          <w:rFonts w:ascii="Arial" w:hAnsi="Arial" w:cs="Arial"/>
          <w:bCs/>
          <w:color w:val="000000"/>
          <w:sz w:val="22"/>
          <w:szCs w:val="22"/>
        </w:rPr>
        <w:t>N</w:t>
      </w:r>
      <w:r w:rsidR="009B7DF8">
        <w:rPr>
          <w:rFonts w:ascii="Arial" w:hAnsi="Arial" w:cs="Arial"/>
          <w:bCs/>
          <w:color w:val="000000"/>
          <w:sz w:val="22"/>
          <w:szCs w:val="22"/>
        </w:rPr>
        <w:t xml:space="preserve">ilai </w:t>
      </w:r>
      <w:r w:rsidR="009B7DF8" w:rsidRPr="006E0ED7">
        <w:rPr>
          <w:rFonts w:ascii="Arial" w:hAnsi="Arial" w:cs="Arial"/>
          <w:bCs/>
          <w:i/>
          <w:color w:val="000000"/>
          <w:sz w:val="22"/>
          <w:szCs w:val="22"/>
        </w:rPr>
        <w:t>path coefficient</w:t>
      </w:r>
      <w:r w:rsidR="009B7DF8">
        <w:rPr>
          <w:rFonts w:ascii="Arial" w:hAnsi="Arial" w:cs="Arial"/>
          <w:bCs/>
          <w:color w:val="000000"/>
          <w:sz w:val="22"/>
          <w:szCs w:val="22"/>
        </w:rPr>
        <w:t xml:space="preserve"> antar variabel latent dan nilai p yang menunjukkan signifikansi uji hipotesis. Kriteria uji yang ditetapkan adalah batas nilai p &lt;0,05 untuk menerima hipotesis (H1). </w:t>
      </w:r>
      <w:r w:rsidR="009B7DF8" w:rsidRPr="00216D38">
        <w:rPr>
          <w:rFonts w:ascii="Arial" w:hAnsi="Arial" w:cs="Arial"/>
          <w:bCs/>
          <w:color w:val="000000"/>
          <w:sz w:val="22"/>
          <w:szCs w:val="22"/>
        </w:rPr>
        <w:t>Variabel usahatani berpengaruh signifikan terhadap belanja pangan.</w:t>
      </w:r>
      <w:r w:rsidR="009B7DF8">
        <w:rPr>
          <w:rFonts w:ascii="Arial" w:hAnsi="Arial" w:cs="Arial"/>
          <w:bCs/>
          <w:color w:val="000000"/>
          <w:sz w:val="22"/>
          <w:szCs w:val="22"/>
        </w:rPr>
        <w:t xml:space="preserve"> </w:t>
      </w:r>
      <w:r w:rsidR="009B7DF8" w:rsidRPr="00216D38">
        <w:rPr>
          <w:rFonts w:ascii="Arial" w:hAnsi="Arial" w:cs="Arial"/>
          <w:bCs/>
          <w:color w:val="000000"/>
          <w:sz w:val="22"/>
          <w:szCs w:val="22"/>
        </w:rPr>
        <w:t>Usahatani di waduk dengan lahan yang sempit masih menjadi sumber utama  konsumsi pangan keluarga petani.</w:t>
      </w:r>
    </w:p>
    <w:p w:rsidR="009B7DF8" w:rsidRDefault="009B7DF8" w:rsidP="009B7DF8">
      <w:pPr>
        <w:pStyle w:val="NoSpacing"/>
        <w:ind w:firstLine="709"/>
        <w:jc w:val="both"/>
        <w:rPr>
          <w:rFonts w:ascii="Arial" w:hAnsi="Arial" w:cs="Arial"/>
          <w:bCs/>
          <w:color w:val="000000"/>
          <w:sz w:val="22"/>
          <w:szCs w:val="22"/>
        </w:rPr>
      </w:pPr>
    </w:p>
    <w:p w:rsidR="005129D5" w:rsidRDefault="005129D5" w:rsidP="004A65AB">
      <w:pPr>
        <w:pStyle w:val="NoSpacing"/>
        <w:jc w:val="center"/>
        <w:rPr>
          <w:rFonts w:ascii="Arial" w:hAnsi="Arial" w:cs="Arial"/>
          <w:bCs/>
          <w:color w:val="000000"/>
          <w:sz w:val="22"/>
          <w:szCs w:val="22"/>
        </w:rPr>
      </w:pPr>
      <w:r>
        <w:rPr>
          <w:noProof/>
          <w:lang w:eastAsia="en-US" w:bidi="ar-SA"/>
        </w:rPr>
        <w:lastRenderedPageBreak/>
        <w:drawing>
          <wp:inline distT="0" distB="0" distL="0" distR="0">
            <wp:extent cx="4689427" cy="2382350"/>
            <wp:effectExtent l="19050" t="0" r="0" b="0"/>
            <wp:docPr id="3" name="Picture 2" descr="C:\Users\user\AppData\Local\Microsoft\Windows\Temporary Internet Files\Content.Word\Hasil moder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Hasil moderasi.jpg"/>
                    <pic:cNvPicPr>
                      <a:picLocks noChangeAspect="1" noChangeArrowheads="1"/>
                    </pic:cNvPicPr>
                  </pic:nvPicPr>
                  <pic:blipFill>
                    <a:blip r:embed="rId9"/>
                    <a:srcRect/>
                    <a:stretch>
                      <a:fillRect/>
                    </a:stretch>
                  </pic:blipFill>
                  <pic:spPr bwMode="auto">
                    <a:xfrm>
                      <a:off x="0" y="0"/>
                      <a:ext cx="4696614" cy="2386001"/>
                    </a:xfrm>
                    <a:prstGeom prst="rect">
                      <a:avLst/>
                    </a:prstGeom>
                    <a:noFill/>
                    <a:ln w="9525">
                      <a:noFill/>
                      <a:miter lim="800000"/>
                      <a:headEnd/>
                      <a:tailEnd/>
                    </a:ln>
                  </pic:spPr>
                </pic:pic>
              </a:graphicData>
            </a:graphic>
          </wp:inline>
        </w:drawing>
      </w:r>
    </w:p>
    <w:p w:rsidR="006C72E0" w:rsidRDefault="006C72E0" w:rsidP="006C72E0">
      <w:pPr>
        <w:autoSpaceDE w:val="0"/>
        <w:autoSpaceDN w:val="0"/>
        <w:adjustRightInd w:val="0"/>
        <w:spacing w:after="0" w:line="240" w:lineRule="auto"/>
        <w:jc w:val="center"/>
        <w:rPr>
          <w:rFonts w:ascii="Arial" w:hAnsi="Arial" w:cs="Arial"/>
          <w:lang w:val="en-US"/>
        </w:rPr>
      </w:pPr>
      <w:r>
        <w:rPr>
          <w:rFonts w:ascii="Arial" w:hAnsi="Arial" w:cs="Arial"/>
          <w:lang w:val="en-US"/>
        </w:rPr>
        <w:t>Sumber: Data Primer Diolah, 2019</w:t>
      </w:r>
    </w:p>
    <w:p w:rsidR="005129D5" w:rsidRPr="00FE7384" w:rsidRDefault="00FE7384" w:rsidP="00FE7384">
      <w:pPr>
        <w:pStyle w:val="NoSpacing"/>
        <w:jc w:val="center"/>
        <w:rPr>
          <w:rFonts w:ascii="Arial" w:hAnsi="Arial" w:cs="Arial"/>
          <w:b/>
          <w:bCs/>
          <w:color w:val="000000"/>
          <w:sz w:val="22"/>
          <w:szCs w:val="22"/>
        </w:rPr>
      </w:pPr>
      <w:r w:rsidRPr="00FE7384">
        <w:rPr>
          <w:rFonts w:ascii="Arial" w:hAnsi="Arial" w:cs="Arial"/>
          <w:b/>
          <w:bCs/>
          <w:color w:val="000000"/>
          <w:sz w:val="22"/>
          <w:szCs w:val="22"/>
        </w:rPr>
        <w:t>Gambar 2</w:t>
      </w:r>
    </w:p>
    <w:p w:rsidR="00FE7384" w:rsidRPr="00FE7384" w:rsidRDefault="00FE7384" w:rsidP="00FE7384">
      <w:pPr>
        <w:pStyle w:val="NoSpacing"/>
        <w:jc w:val="center"/>
        <w:rPr>
          <w:rFonts w:ascii="Arial" w:hAnsi="Arial" w:cs="Arial"/>
          <w:b/>
          <w:bCs/>
          <w:color w:val="000000"/>
          <w:sz w:val="22"/>
          <w:szCs w:val="22"/>
        </w:rPr>
      </w:pPr>
      <w:r>
        <w:rPr>
          <w:rFonts w:ascii="Arial" w:hAnsi="Arial" w:cs="Arial"/>
          <w:b/>
          <w:bCs/>
          <w:color w:val="000000"/>
          <w:sz w:val="22"/>
          <w:szCs w:val="22"/>
        </w:rPr>
        <w:t>Model PLS-SEM konsumsi pangan petani “Waduk Pacal”</w:t>
      </w:r>
    </w:p>
    <w:p w:rsidR="00FE7384" w:rsidRDefault="00FE7384" w:rsidP="00FE7384">
      <w:pPr>
        <w:pStyle w:val="NoSpacing"/>
        <w:jc w:val="center"/>
        <w:rPr>
          <w:rFonts w:ascii="Arial" w:hAnsi="Arial" w:cs="Arial"/>
          <w:b/>
          <w:bCs/>
          <w:color w:val="000000"/>
          <w:sz w:val="22"/>
          <w:szCs w:val="22"/>
        </w:rPr>
      </w:pPr>
    </w:p>
    <w:p w:rsidR="00FD070B" w:rsidRPr="00216D38" w:rsidRDefault="006E0ED7" w:rsidP="00A41BC0">
      <w:pPr>
        <w:pStyle w:val="NoSpacing"/>
        <w:ind w:firstLine="709"/>
        <w:jc w:val="both"/>
        <w:rPr>
          <w:rFonts w:ascii="Arial" w:hAnsi="Arial" w:cs="Arial"/>
          <w:bCs/>
          <w:color w:val="000000"/>
          <w:sz w:val="22"/>
          <w:szCs w:val="22"/>
        </w:rPr>
      </w:pPr>
      <w:r w:rsidRPr="00216D38">
        <w:rPr>
          <w:rFonts w:ascii="Arial" w:hAnsi="Arial" w:cs="Arial"/>
          <w:bCs/>
          <w:color w:val="000000"/>
          <w:sz w:val="22"/>
          <w:szCs w:val="22"/>
        </w:rPr>
        <w:t>Variabel pendapatan non pertanian berpengaruh tidak signifikan terhadap belanja pangan.</w:t>
      </w:r>
      <w:r w:rsidR="00A41BC0">
        <w:rPr>
          <w:rFonts w:ascii="Arial" w:hAnsi="Arial" w:cs="Arial"/>
          <w:bCs/>
          <w:color w:val="000000"/>
          <w:sz w:val="22"/>
          <w:szCs w:val="22"/>
        </w:rPr>
        <w:t xml:space="preserve"> Jadi hasil penelitian menolak</w:t>
      </w:r>
      <w:r w:rsidR="00FD070B">
        <w:rPr>
          <w:rFonts w:ascii="Arial" w:hAnsi="Arial" w:cs="Arial"/>
          <w:bCs/>
          <w:color w:val="000000"/>
          <w:sz w:val="22"/>
          <w:szCs w:val="22"/>
        </w:rPr>
        <w:t xml:space="preserve"> hipotesis (H2). </w:t>
      </w:r>
      <w:r w:rsidR="00FD070B" w:rsidRPr="00216D38">
        <w:rPr>
          <w:rFonts w:ascii="Arial" w:hAnsi="Arial" w:cs="Arial"/>
          <w:bCs/>
          <w:color w:val="000000"/>
          <w:sz w:val="22"/>
          <w:szCs w:val="22"/>
        </w:rPr>
        <w:t>Peluang kerja sebagai buruh tani tetangga juga terbatas. Responden yang memperoleh tambahan pendapatan dari</w:t>
      </w:r>
      <w:r w:rsidR="00FD070B">
        <w:rPr>
          <w:rFonts w:ascii="Arial" w:hAnsi="Arial" w:cs="Arial"/>
          <w:bCs/>
          <w:color w:val="000000"/>
          <w:sz w:val="22"/>
          <w:szCs w:val="22"/>
        </w:rPr>
        <w:t xml:space="preserve"> lahan tetangga hanya sebesar 30%</w:t>
      </w:r>
      <w:r w:rsidR="00FD070B" w:rsidRPr="00216D38">
        <w:rPr>
          <w:rFonts w:ascii="Arial" w:hAnsi="Arial" w:cs="Arial"/>
          <w:bCs/>
          <w:color w:val="000000"/>
          <w:sz w:val="22"/>
          <w:szCs w:val="22"/>
        </w:rPr>
        <w:t>.</w:t>
      </w:r>
      <w:r w:rsidR="00FD070B">
        <w:rPr>
          <w:rFonts w:ascii="Arial" w:hAnsi="Arial" w:cs="Arial"/>
          <w:bCs/>
          <w:color w:val="000000"/>
          <w:sz w:val="22"/>
          <w:szCs w:val="22"/>
        </w:rPr>
        <w:t xml:space="preserve"> Peran kerja tambahan sebagai buruh tani ini rendah karena kepemilikan lahan pertanian pada petani desa tersebut juga rendah</w:t>
      </w:r>
      <w:r w:rsidR="00A41BC0">
        <w:rPr>
          <w:rFonts w:ascii="Arial" w:hAnsi="Arial" w:cs="Arial"/>
          <w:bCs/>
          <w:color w:val="000000"/>
          <w:sz w:val="22"/>
          <w:szCs w:val="22"/>
        </w:rPr>
        <w:t>, sehingga kesempatan kerja sebagai buruh tani rendah</w:t>
      </w:r>
      <w:r w:rsidR="00FD070B">
        <w:rPr>
          <w:rFonts w:ascii="Arial" w:hAnsi="Arial" w:cs="Arial"/>
          <w:bCs/>
          <w:color w:val="000000"/>
          <w:sz w:val="22"/>
          <w:szCs w:val="22"/>
        </w:rPr>
        <w:t>.</w:t>
      </w:r>
      <w:r w:rsidR="00A41BC0">
        <w:rPr>
          <w:rFonts w:ascii="Arial" w:hAnsi="Arial" w:cs="Arial"/>
          <w:bCs/>
          <w:color w:val="000000"/>
          <w:sz w:val="22"/>
          <w:szCs w:val="22"/>
        </w:rPr>
        <w:t xml:space="preserve"> </w:t>
      </w:r>
      <w:r w:rsidR="00164473">
        <w:rPr>
          <w:rFonts w:ascii="Arial" w:hAnsi="Arial" w:cs="Arial"/>
          <w:bCs/>
          <w:color w:val="000000"/>
          <w:sz w:val="22"/>
          <w:szCs w:val="22"/>
        </w:rPr>
        <w:t>K</w:t>
      </w:r>
      <w:r w:rsidR="00A41BC0" w:rsidRPr="00A41BC0">
        <w:rPr>
          <w:rFonts w:ascii="Arial" w:hAnsi="Arial" w:cs="Arial"/>
          <w:bCs/>
          <w:color w:val="000000"/>
          <w:sz w:val="22"/>
          <w:szCs w:val="22"/>
        </w:rPr>
        <w:t>esempatan</w:t>
      </w:r>
      <w:r w:rsidR="00A41BC0">
        <w:rPr>
          <w:rFonts w:ascii="Arial" w:hAnsi="Arial" w:cs="Arial"/>
          <w:bCs/>
          <w:color w:val="000000"/>
          <w:sz w:val="22"/>
          <w:szCs w:val="22"/>
        </w:rPr>
        <w:t xml:space="preserve"> </w:t>
      </w:r>
      <w:r w:rsidR="00A41BC0" w:rsidRPr="00A41BC0">
        <w:rPr>
          <w:rFonts w:ascii="Arial" w:hAnsi="Arial" w:cs="Arial"/>
          <w:bCs/>
          <w:color w:val="000000"/>
          <w:sz w:val="22"/>
          <w:szCs w:val="22"/>
        </w:rPr>
        <w:t xml:space="preserve">kerja </w:t>
      </w:r>
      <w:r w:rsidR="00A41BC0">
        <w:rPr>
          <w:rFonts w:ascii="Arial" w:hAnsi="Arial" w:cs="Arial"/>
          <w:bCs/>
          <w:color w:val="000000"/>
          <w:sz w:val="22"/>
          <w:szCs w:val="22"/>
        </w:rPr>
        <w:t xml:space="preserve">di pedesaan </w:t>
      </w:r>
      <w:r w:rsidR="00164473">
        <w:rPr>
          <w:rFonts w:ascii="Arial" w:hAnsi="Arial" w:cs="Arial"/>
          <w:bCs/>
          <w:color w:val="000000"/>
          <w:sz w:val="22"/>
          <w:szCs w:val="22"/>
        </w:rPr>
        <w:t xml:space="preserve">sangat terbatas dan pertumbuhannya </w:t>
      </w:r>
      <w:r w:rsidR="00A41BC0" w:rsidRPr="00A41BC0">
        <w:rPr>
          <w:rFonts w:ascii="Arial" w:hAnsi="Arial" w:cs="Arial"/>
          <w:bCs/>
          <w:color w:val="000000"/>
          <w:sz w:val="22"/>
          <w:szCs w:val="22"/>
        </w:rPr>
        <w:t>tidak dapat mengimbangi kebutuhan tenaga kerja</w:t>
      </w:r>
      <w:r w:rsidR="00164473">
        <w:rPr>
          <w:rFonts w:ascii="Arial" w:hAnsi="Arial" w:cs="Arial"/>
          <w:bCs/>
          <w:color w:val="000000"/>
          <w:sz w:val="22"/>
          <w:szCs w:val="22"/>
        </w:rPr>
        <w:t xml:space="preserve"> </w:t>
      </w:r>
      <w:r w:rsidR="00164473">
        <w:rPr>
          <w:rFonts w:ascii="Arial" w:hAnsi="Arial" w:cs="Arial"/>
          <w:bCs/>
          <w:color w:val="000000"/>
          <w:sz w:val="22"/>
          <w:szCs w:val="22"/>
        </w:rPr>
        <w:fldChar w:fldCharType="begin" w:fldLock="1"/>
      </w:r>
      <w:r w:rsidR="00164473">
        <w:rPr>
          <w:rFonts w:ascii="Arial" w:hAnsi="Arial" w:cs="Arial"/>
          <w:bCs/>
          <w:color w:val="000000"/>
          <w:sz w:val="22"/>
          <w:szCs w:val="22"/>
        </w:rPr>
        <w:instrText>ADDIN CSL_CITATION { "citationItems" : [ { "id" : "ITEM-1", "itemData" : { "author" : [ { "dropping-particle" : "", "family" : "Sudaryanto", "given" : "Tahlim", "non-dropping-particle" : "", "parse-names" : false, "suffix" : "" }, { "dropping-particle" : "", "family" : "Rusastra", "given" : "I Wayan", "non-dropping-particle" : "", "parse-names" : false, "suffix" : "" } ], "container-title" : "Jurnal Litbang Pertanian", "id" : "ITEM-1", "issue" : "4", "issued" : { "date-parts" : [ [ "2006" ] ] }, "page" : "115-122", "title" : "Kebijakan strategis usaha pertanian dalam rangka peningkatan produksi dan pengentasan kemiskinan", "type" : "article-journal", "volume" : "25" }, "uris" : [ "http://www.mendeley.com/documents/?uuid=37f63585-3ea3-412e-9419-491ffb38defc" ] }, { "id" : "ITEM-2", "itemData" : { "abstract" : "Sumber daya manusia yang berkualitas dan memiliki komitmen membangun sektor pertanian merupakan salah satu faktor keberhasilan pembangunan pertanian berkelanjutan. Namun, pembangunan pertanian menghadapi permasalahan cukup serius, yaitu jumlah petani muda terus mengalami penurunan, baik secara absolut maupun relatif, sementara petani usia tua semakin meningkat. Tujuan makalah ini adalah melakukan review tentang perubahan struktural tenaga kerja pertanian dilihat dari fenomena aging farmer dan menurunnya jumlah tenaga kerja usia muda sektor pertanian di Indonesia dan di berbagai negara lainnya, mengidentifikasi berbagai faktor penyebab perubahan tersebut, serta kebijakan yang diperlukan untuk mendukung tenaga kerja muda masuk ke sektor pertanian. Metode penelitian yang digunakan adalah analisis deskriptif dan tabulasi. Hasil analisis menunjukkan bahwa secara umum fenomena penuaan petani dan berkurangnya petani muda di Indonesia semakin meningkat. Kondisi seperti ini bukan hanya terjadi di Indonesia, namun juga di negara-negara lain di Asia, Eropa, dan Amerika. Berbagai faktor penyebab menurunnya minat tenaga kerja muda di sektor pertanian, di antaranya citra sektor pertanian yang kurang bergengsi, berisiko tinggi, kurang memberikan jaminan tingkat, stabilitas, dan kontinyuitas pendapatan; rata-rata penguasaan lahan sempit; diversifikasi usaha nonpertanian dan industri pertanian di desa kurang/tidak berkembang; suksesi pengelolaan usaha tani rendah; belum ada kebijakan insentif khusus untuk petani muda/pemula; dan berubahnya cara pandang pemuda di era postmodern seperti sekarang. Strategi yang perlu dilakukan untuk menarik minat pemuda bekerja di pertanian antara lain mengubah persepsi generasi muda bahwa sektor pertanian merupakan sektor yang menarik dan menjanjikan apabila dikelola dengan tekun dan sungguh-sungguh, pengembangan agroindustri, inovasi teknologi, pemberian insentif khusus kepada petani muda, pengembangan pertanian modern, pelatihan dan pemberdayaan petani muda, serta memperkenalkan pertanian kepada generasi muda sejak dini.", "author" : [ { "dropping-particle" : "", "family" : "Susilowati", "given" : "Sri Hery", "non-dropping-particle" : "", "parse-names" : false, "suffix" : "" } ], "container-title" : "Forum Penelit. Agroecon.", "id" : "ITEM-2", "issue" : "1", "issued" : { "date-parts" : [ [ "2016" ] ] }, "page" : "35-55", "title" : "Fenomena Penuaan Petani dan Berkurangnya Tenaga Kerja Muda Serta Implikasinya Bagi Kebijakan Pembangunan Pertanian", "type" : "article-journal", "volume" : "34" }, "uris" : [ "http://www.mendeley.com/documents/?uuid=8882bad0-2366-4c0d-bf9d-ac6b9ab8db96" ] } ], "mendeley" : { "formattedCitation" : "(Sudaryanto &amp; Rusastra, 2006; Susilowati, 2016)", "plainTextFormattedCitation" : "(Sudaryanto &amp; Rusastra, 2006; Susilowati, 2016)", "previouslyFormattedCitation" : "(Sudaryanto &amp; Rusastra, 2006; Susilowati, 2016)" }, "properties" : {  }, "schema" : "https://github.com/citation-style-language/schema/raw/master/csl-citation.json" }</w:instrText>
      </w:r>
      <w:r w:rsidR="00164473">
        <w:rPr>
          <w:rFonts w:ascii="Arial" w:hAnsi="Arial" w:cs="Arial"/>
          <w:bCs/>
          <w:color w:val="000000"/>
          <w:sz w:val="22"/>
          <w:szCs w:val="22"/>
        </w:rPr>
        <w:fldChar w:fldCharType="separate"/>
      </w:r>
      <w:r w:rsidR="00164473" w:rsidRPr="00164473">
        <w:rPr>
          <w:rFonts w:ascii="Arial" w:hAnsi="Arial" w:cs="Arial"/>
          <w:bCs/>
          <w:noProof/>
          <w:color w:val="000000"/>
          <w:sz w:val="22"/>
          <w:szCs w:val="22"/>
        </w:rPr>
        <w:t>(Sudaryanto &amp; Rusastra, 2006; Susilowati, 2016)</w:t>
      </w:r>
      <w:r w:rsidR="00164473">
        <w:rPr>
          <w:rFonts w:ascii="Arial" w:hAnsi="Arial" w:cs="Arial"/>
          <w:bCs/>
          <w:color w:val="000000"/>
          <w:sz w:val="22"/>
          <w:szCs w:val="22"/>
        </w:rPr>
        <w:fldChar w:fldCharType="end"/>
      </w:r>
      <w:r w:rsidR="00A41BC0" w:rsidRPr="00A41BC0">
        <w:rPr>
          <w:rFonts w:ascii="Arial" w:hAnsi="Arial" w:cs="Arial"/>
          <w:bCs/>
          <w:color w:val="000000"/>
          <w:sz w:val="22"/>
          <w:szCs w:val="22"/>
        </w:rPr>
        <w:t>.</w:t>
      </w:r>
      <w:r w:rsidR="00FD070B" w:rsidRPr="003D17F4">
        <w:rPr>
          <w:rFonts w:ascii="Arial" w:hAnsi="Arial" w:cs="Arial"/>
          <w:bCs/>
          <w:color w:val="FF0000"/>
          <w:sz w:val="22"/>
          <w:szCs w:val="22"/>
        </w:rPr>
        <w:t xml:space="preserve"> </w:t>
      </w:r>
    </w:p>
    <w:p w:rsidR="00FD070B" w:rsidRPr="00216D38" w:rsidRDefault="00FD070B" w:rsidP="00FD070B">
      <w:pPr>
        <w:pStyle w:val="NoSpacing"/>
        <w:ind w:firstLine="709"/>
        <w:jc w:val="both"/>
        <w:rPr>
          <w:rFonts w:ascii="Arial" w:hAnsi="Arial" w:cs="Arial"/>
          <w:bCs/>
          <w:color w:val="000000"/>
          <w:sz w:val="22"/>
          <w:szCs w:val="22"/>
        </w:rPr>
      </w:pPr>
      <w:r w:rsidRPr="00216D38">
        <w:rPr>
          <w:rFonts w:ascii="Arial" w:hAnsi="Arial" w:cs="Arial"/>
          <w:bCs/>
          <w:color w:val="000000"/>
          <w:sz w:val="22"/>
          <w:szCs w:val="22"/>
        </w:rPr>
        <w:t xml:space="preserve">Pekerjaan non pertanian di desa </w:t>
      </w:r>
      <w:r w:rsidR="00164473">
        <w:rPr>
          <w:rFonts w:ascii="Arial" w:hAnsi="Arial" w:cs="Arial"/>
          <w:bCs/>
          <w:color w:val="000000"/>
          <w:sz w:val="22"/>
          <w:szCs w:val="22"/>
        </w:rPr>
        <w:t xml:space="preserve">juga </w:t>
      </w:r>
      <w:r w:rsidRPr="00216D38">
        <w:rPr>
          <w:rFonts w:ascii="Arial" w:hAnsi="Arial" w:cs="Arial"/>
          <w:bCs/>
          <w:color w:val="000000"/>
          <w:sz w:val="22"/>
          <w:szCs w:val="22"/>
        </w:rPr>
        <w:t>masih sangat terbatas. Responden yang mempunyai sumber penghasilan tambahan dari peke</w:t>
      </w:r>
      <w:r>
        <w:rPr>
          <w:rFonts w:ascii="Arial" w:hAnsi="Arial" w:cs="Arial"/>
          <w:bCs/>
          <w:color w:val="000000"/>
          <w:sz w:val="22"/>
          <w:szCs w:val="22"/>
        </w:rPr>
        <w:t>rjaan non pertanian sejumlah 17%</w:t>
      </w:r>
      <w:r w:rsidRPr="00216D38">
        <w:rPr>
          <w:rFonts w:ascii="Arial" w:hAnsi="Arial" w:cs="Arial"/>
          <w:bCs/>
          <w:color w:val="000000"/>
          <w:sz w:val="22"/>
          <w:szCs w:val="22"/>
        </w:rPr>
        <w:t>. Lokasi desa yang jauh dari aktivitas ekonomi produktif</w:t>
      </w:r>
      <w:r>
        <w:rPr>
          <w:rFonts w:ascii="Arial" w:hAnsi="Arial" w:cs="Arial"/>
          <w:bCs/>
          <w:color w:val="000000"/>
          <w:sz w:val="22"/>
          <w:szCs w:val="22"/>
        </w:rPr>
        <w:t xml:space="preserve"> </w:t>
      </w:r>
      <w:r w:rsidRPr="00216D38">
        <w:rPr>
          <w:rFonts w:ascii="Arial" w:hAnsi="Arial" w:cs="Arial"/>
          <w:bCs/>
          <w:color w:val="000000"/>
          <w:sz w:val="22"/>
          <w:szCs w:val="22"/>
        </w:rPr>
        <w:t>mengakibatkan akses yang terbatas.</w:t>
      </w:r>
      <w:r w:rsidR="00164473">
        <w:rPr>
          <w:rFonts w:ascii="Arial" w:hAnsi="Arial" w:cs="Arial"/>
          <w:bCs/>
          <w:color w:val="000000"/>
          <w:sz w:val="22"/>
          <w:szCs w:val="22"/>
        </w:rPr>
        <w:t xml:space="preserve"> Padahal akses lahan dan modal merupakan </w:t>
      </w:r>
      <w:r>
        <w:rPr>
          <w:rFonts w:ascii="Arial" w:hAnsi="Arial" w:cs="Arial"/>
          <w:bCs/>
          <w:color w:val="000000"/>
          <w:sz w:val="22"/>
          <w:szCs w:val="22"/>
        </w:rPr>
        <w:t xml:space="preserve"> </w:t>
      </w:r>
      <w:r w:rsidR="00164473">
        <w:rPr>
          <w:rFonts w:ascii="Arial" w:hAnsi="Arial" w:cs="Arial"/>
          <w:bCs/>
          <w:color w:val="000000"/>
          <w:sz w:val="22"/>
          <w:szCs w:val="22"/>
        </w:rPr>
        <w:t xml:space="preserve">dukungan penting untuk perumbuhan ekonomi pedesaan dan meningkatkan minat petani muda </w:t>
      </w:r>
      <w:r w:rsidR="00164473">
        <w:rPr>
          <w:rFonts w:ascii="Arial" w:hAnsi="Arial" w:cs="Arial"/>
          <w:bCs/>
          <w:color w:val="000000"/>
          <w:sz w:val="22"/>
          <w:szCs w:val="22"/>
        </w:rPr>
        <w:fldChar w:fldCharType="begin" w:fldLock="1"/>
      </w:r>
      <w:r w:rsidR="00164473">
        <w:rPr>
          <w:rFonts w:ascii="Arial" w:hAnsi="Arial" w:cs="Arial"/>
          <w:bCs/>
          <w:color w:val="000000"/>
          <w:sz w:val="22"/>
          <w:szCs w:val="22"/>
        </w:rPr>
        <w:instrText>ADDIN CSL_CITATION { "citationItems" : [ { "id" : "ITEM-1", "itemData" : { "DOI" : "10.1177/0030727019880559", "ISSN" : "00307270", "abstract" : "Many countries have programmes to help young people start farming. However, some of the programmes have been criticized for not providing enough support, particularly because they do not adequately account for the diverse profiles of young farmers. The present study analyses the profiles of young farmers in Thailand and to what extent they benefit from support programmes. Eighty-four farmers under the age of 40 were interviewed in Chiang Mai and Prachinburi Provinces, along with 15 staff members of support programmes for young farmers. Five types of young farmers were identified, who differed in their motivation, farming systems and engagement in farming. Some farmers focused on economic profitability, while others considered environmentally sustainable farming practices to be important or were actively engaged in other activities at domestic or village level. This wide range of goals and situations entailed varying constraints during the first years of farming. The support programmes helped farmers overcome their lack of farming knowledge and helped them integrate into rural communities, but the support they provided in accessing land and capital was sometimes limited, and often non-existent. To improve support for young farmers in Thailand, the diversity of young farmers\u2019 profiles should be accounted for not only in capacity-building activities but also to help them access other types of resources.", "author" : [ { "dropping-particle" : "", "family" : "Phiboon", "given" : "Kassirin", "non-dropping-particle" : "", "parse-names" : false, "suffix" : "" }, { "dropping-particle" : "", "family" : "Cochetel", "given" : "C\u00e9cile", "non-dropping-particle" : "", "parse-names" : false, "suffix" : "" }, { "dropping-particle" : "", "family" : "Faysse", "given" : "Nicolas", "non-dropping-particle" : "", "parse-names" : false, "suffix" : "" } ], "container-title" : "Outlook on Agriculture", "id" : "ITEM-1", "issue" : "4", "issued" : { "date-parts" : [ [ "2019" ] ] }, "page" : "300-308", "title" : "Support programmes and the diversity of young farmers in Thailand: A good match?", "type" : "article-journal", "volume" : "48" }, "uris" : [ "http://www.mendeley.com/documents/?uuid=31acb9da-4598-4f69-a0fd-f57507b9d14a" ] } ], "mendeley" : { "formattedCitation" : "(Phiboon, Cochetel, &amp; Faysse, 2019)", "plainTextFormattedCitation" : "(Phiboon, Cochetel, &amp; Faysse, 2019)", "previouslyFormattedCitation" : "(Phiboon, Cochetel, &amp; Faysse, 2019)" }, "properties" : {  }, "schema" : "https://github.com/citation-style-language/schema/raw/master/csl-citation.json" }</w:instrText>
      </w:r>
      <w:r w:rsidR="00164473">
        <w:rPr>
          <w:rFonts w:ascii="Arial" w:hAnsi="Arial" w:cs="Arial"/>
          <w:bCs/>
          <w:color w:val="000000"/>
          <w:sz w:val="22"/>
          <w:szCs w:val="22"/>
        </w:rPr>
        <w:fldChar w:fldCharType="separate"/>
      </w:r>
      <w:r w:rsidR="00164473" w:rsidRPr="00164473">
        <w:rPr>
          <w:rFonts w:ascii="Arial" w:hAnsi="Arial" w:cs="Arial"/>
          <w:bCs/>
          <w:noProof/>
          <w:color w:val="000000"/>
          <w:sz w:val="22"/>
          <w:szCs w:val="22"/>
        </w:rPr>
        <w:t>(Phiboon, Cochetel, &amp; Faysse, 2019)</w:t>
      </w:r>
      <w:r w:rsidR="00164473">
        <w:rPr>
          <w:rFonts w:ascii="Arial" w:hAnsi="Arial" w:cs="Arial"/>
          <w:bCs/>
          <w:color w:val="000000"/>
          <w:sz w:val="22"/>
          <w:szCs w:val="22"/>
        </w:rPr>
        <w:fldChar w:fldCharType="end"/>
      </w:r>
      <w:r w:rsidR="00F37548">
        <w:rPr>
          <w:rFonts w:ascii="Arial" w:hAnsi="Arial" w:cs="Arial"/>
          <w:bCs/>
          <w:color w:val="000000"/>
          <w:sz w:val="22"/>
          <w:szCs w:val="22"/>
        </w:rPr>
        <w:t xml:space="preserve">. Padahal petani mempunyai kesempatan meningkatkan pendapatan jika mereka juga bekerja pada homeindustry di pedesaan </w:t>
      </w:r>
      <w:r w:rsidR="0044044C">
        <w:rPr>
          <w:rFonts w:ascii="Arial" w:hAnsi="Arial" w:cs="Arial"/>
          <w:bCs/>
          <w:color w:val="000000"/>
          <w:sz w:val="22"/>
          <w:szCs w:val="22"/>
        </w:rPr>
        <w:fldChar w:fldCharType="begin" w:fldLock="1"/>
      </w:r>
      <w:r w:rsidR="0044044C">
        <w:rPr>
          <w:rFonts w:ascii="Arial" w:hAnsi="Arial" w:cs="Arial"/>
          <w:bCs/>
          <w:color w:val="000000"/>
          <w:sz w:val="22"/>
          <w:szCs w:val="22"/>
        </w:rPr>
        <w:instrText>ADDIN CSL_CITATION { "citationItems" : [ { "id" : "ITEM-1", "itemData" : { "DOI" : "10.21107/agriekonomika.v9i1.7286", "ISSN" : "2301-9948", "abstract" : "Fenomena petani meninggalkan lahan dan beralih profesi menjadi pekerja di industri rumahan kian marak seiring bermunculannya industri rumahan yang tumbuh di pedesaan. Penelitian ini bermaksud untuk mengetahui penyebab petani memutuskan untuk menjadi pekerja industri rumahan di Kabupaten Tasikmalaya. Penelitian menggunakan rumus Slovin dalam penentuan jumlah sampel dan analisis regresi linier berganda untuk mengukur variabel pekerja industri rumahan dan variabel yang diduga kuat menjadi penyebabnya yaitu usia, pendidikan, kepemilikan lahan, pendapatan, kosmopolitan, tanggungan keluarga, lingkungan ekonomi dan kebijakan pemerintah. Hasil penelitian menunjukkan penyebab menjadi pekerja industri rumahan adalah kombinasi antara ketiadaan lahan yang dimiliki, usia produktif dengan jumlah tanggungan keluarga 2\u20133 orang menyebabkan terlibat utang. Kecuali kosmopolitan yang tidak menjadi masalah. Disarankan kebijakan pemerintah untuk menjadikan industri rumahan berbasis hasil pertanian untuk menjaga keberlangsungan pertanian dan keragaman pangan Indonesia. Semua sektor berada dalam keseimbangan.", "author" : [ { "dropping-particle" : "", "family" : "Sundari", "given" : "Ristina Siti", "non-dropping-particle" : "", "parse-names" : false, "suffix" : "" }, { "dropping-particle" : "", "family" : "Kurniasih", "given" : "Euis", "non-dropping-particle" : "", "parse-names" : false, "suffix" : "" }, { "dropping-particle" : "", "family" : "Heryadi", "given" : "D Yadi", "non-dropping-particle" : "", "parse-names" : false, "suffix" : "" }, { "dropping-particle" : "", "family" : "Arshad", "given" : "Adnan", "non-dropping-particle" : "", "parse-names" : false, "suffix" : "" } ], "container-title" : "Agriekonomika", "id" : "ITEM-1", "issue" : "1", "issued" : { "date-parts" : [ [ "2020" ] ] }, "page" : "61-71", "title" : "Mengapa Petani menjadi Pekerja Industri Rumahan di Pedesaan?", "type" : "article-journal", "volume" : "9" }, "uris" : [ "http://www.mendeley.com/documents/?uuid=2fd86586-df1c-40ba-80a1-aaa61ca7352b" ] } ], "mendeley" : { "formattedCitation" : "(Sundari et al., 2020)", "plainTextFormattedCitation" : "(Sundari et al., 2020)", "previouslyFormattedCitation" : "(Sundari et al., 2020)" }, "properties" : {  }, "schema" : "https://github.com/citation-style-language/schema/raw/master/csl-citation.json" }</w:instrText>
      </w:r>
      <w:r w:rsidR="0044044C">
        <w:rPr>
          <w:rFonts w:ascii="Arial" w:hAnsi="Arial" w:cs="Arial"/>
          <w:bCs/>
          <w:color w:val="000000"/>
          <w:sz w:val="22"/>
          <w:szCs w:val="22"/>
        </w:rPr>
        <w:fldChar w:fldCharType="separate"/>
      </w:r>
      <w:r w:rsidR="0044044C" w:rsidRPr="0044044C">
        <w:rPr>
          <w:rFonts w:ascii="Arial" w:hAnsi="Arial" w:cs="Arial"/>
          <w:bCs/>
          <w:noProof/>
          <w:color w:val="000000"/>
          <w:sz w:val="22"/>
          <w:szCs w:val="22"/>
        </w:rPr>
        <w:t>(Sundari et al., 2020)</w:t>
      </w:r>
      <w:r w:rsidR="0044044C">
        <w:rPr>
          <w:rFonts w:ascii="Arial" w:hAnsi="Arial" w:cs="Arial"/>
          <w:bCs/>
          <w:color w:val="000000"/>
          <w:sz w:val="22"/>
          <w:szCs w:val="22"/>
        </w:rPr>
        <w:fldChar w:fldCharType="end"/>
      </w:r>
      <w:r w:rsidR="0044044C">
        <w:rPr>
          <w:rFonts w:ascii="Arial" w:hAnsi="Arial" w:cs="Arial"/>
          <w:bCs/>
          <w:color w:val="000000"/>
          <w:sz w:val="22"/>
          <w:szCs w:val="22"/>
        </w:rPr>
        <w:t>.</w:t>
      </w:r>
    </w:p>
    <w:p w:rsidR="00FD070B" w:rsidRPr="0044044C" w:rsidRDefault="0044044C" w:rsidP="00FD070B">
      <w:pPr>
        <w:pStyle w:val="NoSpacing"/>
        <w:ind w:firstLine="709"/>
        <w:jc w:val="both"/>
        <w:rPr>
          <w:rFonts w:ascii="Arial" w:hAnsi="Arial" w:cs="Arial"/>
          <w:bCs/>
          <w:color w:val="FF0000"/>
          <w:sz w:val="22"/>
          <w:szCs w:val="22"/>
        </w:rPr>
      </w:pPr>
      <w:r>
        <w:rPr>
          <w:rFonts w:ascii="Arial" w:hAnsi="Arial" w:cs="Arial"/>
          <w:bCs/>
          <w:color w:val="000000"/>
          <w:sz w:val="22"/>
          <w:szCs w:val="22"/>
        </w:rPr>
        <w:t>Hipotesis ketiga diterima, bahwa b</w:t>
      </w:r>
      <w:r w:rsidR="006E0ED7" w:rsidRPr="00216D38">
        <w:rPr>
          <w:rFonts w:ascii="Arial" w:hAnsi="Arial" w:cs="Arial"/>
          <w:bCs/>
          <w:color w:val="000000"/>
          <w:sz w:val="22"/>
          <w:szCs w:val="22"/>
        </w:rPr>
        <w:t xml:space="preserve">elanja pangan berpengaruh positif secara signifikan terhadap jumlah konsumsi pangan. </w:t>
      </w:r>
      <w:r w:rsidR="00FD070B">
        <w:rPr>
          <w:rFonts w:ascii="Arial" w:hAnsi="Arial" w:cs="Arial"/>
          <w:bCs/>
          <w:color w:val="000000"/>
          <w:sz w:val="22"/>
          <w:szCs w:val="22"/>
        </w:rPr>
        <w:t xml:space="preserve">Belanja pangan </w:t>
      </w:r>
      <w:r>
        <w:rPr>
          <w:rFonts w:ascii="Arial" w:hAnsi="Arial" w:cs="Arial"/>
          <w:bCs/>
          <w:color w:val="000000"/>
          <w:sz w:val="22"/>
          <w:szCs w:val="22"/>
        </w:rPr>
        <w:t>digunakan untuk</w:t>
      </w:r>
      <w:r w:rsidR="00FD070B">
        <w:rPr>
          <w:rFonts w:ascii="Arial" w:hAnsi="Arial" w:cs="Arial"/>
          <w:bCs/>
          <w:color w:val="000000"/>
          <w:sz w:val="22"/>
          <w:szCs w:val="22"/>
        </w:rPr>
        <w:t xml:space="preserve"> pemenuhan kebutuhan konsumsi pangan. Artinya belanja pangan selama satu minggu terakhir digunakan untuk konsumsi satu minggu. Masyarakat tidak berbelanja pangan untuk cadangan dalam waktu lama. </w:t>
      </w:r>
      <w:r w:rsidRPr="00216D38">
        <w:rPr>
          <w:rFonts w:ascii="Arial" w:hAnsi="Arial" w:cs="Arial"/>
          <w:bCs/>
          <w:color w:val="000000"/>
          <w:sz w:val="22"/>
          <w:szCs w:val="22"/>
        </w:rPr>
        <w:t>Jumlah konsumsi pangan merupakan proksi dari ketahanan pangan</w:t>
      </w:r>
      <w:r>
        <w:rPr>
          <w:rFonts w:ascii="Arial" w:hAnsi="Arial" w:cs="Arial"/>
          <w:bCs/>
          <w:color w:val="000000"/>
          <w:sz w:val="22"/>
          <w:szCs w:val="22"/>
        </w:rPr>
        <w:t xml:space="preserve">, berarti </w:t>
      </w:r>
      <w:r w:rsidRPr="0044044C">
        <w:rPr>
          <w:rFonts w:ascii="Arial" w:hAnsi="Arial" w:cs="Arial"/>
          <w:bCs/>
          <w:sz w:val="22"/>
          <w:szCs w:val="22"/>
        </w:rPr>
        <w:t>keterbatasan jumlah konsumsi pangan</w:t>
      </w:r>
      <w:r w:rsidR="00FD070B" w:rsidRPr="0044044C">
        <w:rPr>
          <w:rFonts w:ascii="Arial" w:hAnsi="Arial" w:cs="Arial"/>
          <w:bCs/>
          <w:sz w:val="22"/>
          <w:szCs w:val="22"/>
        </w:rPr>
        <w:t xml:space="preserve"> </w:t>
      </w:r>
      <w:r w:rsidRPr="0044044C">
        <w:rPr>
          <w:rFonts w:ascii="Arial" w:hAnsi="Arial" w:cs="Arial"/>
          <w:bCs/>
          <w:sz w:val="22"/>
          <w:szCs w:val="22"/>
        </w:rPr>
        <w:t xml:space="preserve">menjadi ancaman bagi ketahanan </w:t>
      </w:r>
      <w:r w:rsidR="00563D65">
        <w:rPr>
          <w:rFonts w:ascii="Arial" w:hAnsi="Arial" w:cs="Arial"/>
          <w:bCs/>
          <w:sz w:val="22"/>
          <w:szCs w:val="22"/>
        </w:rPr>
        <w:t xml:space="preserve">pangan </w:t>
      </w:r>
      <w:r w:rsidR="00563D65" w:rsidRPr="00563D65">
        <w:rPr>
          <w:rFonts w:ascii="Arial" w:hAnsi="Arial" w:cs="Arial"/>
          <w:bCs/>
          <w:sz w:val="22"/>
          <w:szCs w:val="22"/>
        </w:rPr>
        <w:t>rumahtangga</w:t>
      </w:r>
      <w:r w:rsidRPr="00563D65">
        <w:rPr>
          <w:rFonts w:ascii="Arial" w:hAnsi="Arial" w:cs="Arial"/>
          <w:bCs/>
          <w:sz w:val="22"/>
          <w:szCs w:val="22"/>
        </w:rPr>
        <w:t xml:space="preserve"> petani.</w:t>
      </w:r>
    </w:p>
    <w:p w:rsidR="00FE7384" w:rsidRPr="00FE7384" w:rsidRDefault="004A65AB" w:rsidP="00FE7384">
      <w:pPr>
        <w:pStyle w:val="NoSpacing"/>
        <w:jc w:val="center"/>
        <w:rPr>
          <w:rFonts w:ascii="Arial" w:hAnsi="Arial" w:cs="Arial"/>
          <w:b/>
          <w:bCs/>
          <w:color w:val="000000"/>
          <w:sz w:val="22"/>
          <w:szCs w:val="22"/>
        </w:rPr>
      </w:pPr>
      <w:r>
        <w:rPr>
          <w:rFonts w:ascii="Arial" w:hAnsi="Arial" w:cs="Arial"/>
          <w:b/>
          <w:bCs/>
          <w:color w:val="000000"/>
          <w:sz w:val="22"/>
          <w:szCs w:val="22"/>
        </w:rPr>
        <w:t>Tabel 9</w:t>
      </w:r>
    </w:p>
    <w:p w:rsidR="001B65B7" w:rsidRDefault="001B65B7" w:rsidP="00FE7384">
      <w:pPr>
        <w:pStyle w:val="NoSpacing"/>
        <w:jc w:val="center"/>
        <w:rPr>
          <w:rFonts w:ascii="Arial" w:hAnsi="Arial" w:cs="Arial"/>
          <w:b/>
          <w:bCs/>
          <w:color w:val="000000"/>
          <w:sz w:val="22"/>
          <w:szCs w:val="22"/>
        </w:rPr>
      </w:pPr>
      <w:r w:rsidRPr="00FE7384">
        <w:rPr>
          <w:rFonts w:ascii="Arial" w:hAnsi="Arial" w:cs="Arial"/>
          <w:b/>
          <w:bCs/>
          <w:color w:val="000000"/>
          <w:sz w:val="22"/>
          <w:szCs w:val="22"/>
        </w:rPr>
        <w:t>Path coefficients</w:t>
      </w:r>
      <w:r w:rsidR="006B5332">
        <w:rPr>
          <w:rFonts w:ascii="Arial" w:hAnsi="Arial" w:cs="Arial"/>
          <w:b/>
          <w:bCs/>
          <w:color w:val="000000"/>
          <w:sz w:val="22"/>
          <w:szCs w:val="22"/>
        </w:rPr>
        <w:t xml:space="preserve"> and P-values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164"/>
        <w:gridCol w:w="1165"/>
        <w:gridCol w:w="1165"/>
        <w:gridCol w:w="1165"/>
        <w:gridCol w:w="1165"/>
        <w:gridCol w:w="1165"/>
        <w:gridCol w:w="1165"/>
      </w:tblGrid>
      <w:tr w:rsidR="006C72E0" w:rsidRPr="006C72E0" w:rsidTr="003E228E">
        <w:tc>
          <w:tcPr>
            <w:tcW w:w="1164" w:type="dxa"/>
            <w:tcBorders>
              <w:bottom w:val="single" w:sz="4" w:space="0" w:color="auto"/>
            </w:tcBorders>
          </w:tcPr>
          <w:p w:rsidR="006C72E0" w:rsidRPr="006C72E0" w:rsidRDefault="003E228E" w:rsidP="001B65B7">
            <w:pPr>
              <w:pStyle w:val="NoSpacing"/>
              <w:jc w:val="both"/>
              <w:rPr>
                <w:rFonts w:ascii="Arial" w:hAnsi="Arial" w:cs="Arial"/>
                <w:bCs/>
                <w:color w:val="000000"/>
                <w:sz w:val="20"/>
                <w:szCs w:val="20"/>
              </w:rPr>
            </w:pPr>
            <w:r>
              <w:rPr>
                <w:rFonts w:ascii="Arial" w:hAnsi="Arial" w:cs="Arial"/>
                <w:bCs/>
                <w:color w:val="000000"/>
                <w:sz w:val="20"/>
                <w:szCs w:val="20"/>
              </w:rPr>
              <w:t>Var. Laten</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Usahatani</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NonFarm</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Belanja</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Konsumsi</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Jml_Kelg</w:t>
            </w:r>
          </w:p>
        </w:tc>
        <w:tc>
          <w:tcPr>
            <w:tcW w:w="1165" w:type="dxa"/>
            <w:tcBorders>
              <w:bottom w:val="single" w:sz="4" w:space="0" w:color="auto"/>
            </w:tcBorders>
          </w:tcPr>
          <w:p w:rsidR="006C72E0" w:rsidRPr="006C72E0" w:rsidRDefault="006C72E0" w:rsidP="008E65D4">
            <w:pPr>
              <w:spacing w:after="0" w:line="240" w:lineRule="auto"/>
              <w:jc w:val="center"/>
              <w:rPr>
                <w:rFonts w:ascii="Arial" w:hAnsi="Arial" w:cs="Arial"/>
                <w:bCs/>
                <w:color w:val="000000"/>
                <w:sz w:val="20"/>
                <w:szCs w:val="20"/>
                <w:lang w:val="en-US"/>
              </w:rPr>
            </w:pPr>
            <w:r w:rsidRPr="006C72E0">
              <w:rPr>
                <w:rFonts w:ascii="Arial" w:hAnsi="Arial" w:cs="Arial"/>
                <w:bCs/>
                <w:color w:val="000000"/>
                <w:sz w:val="20"/>
                <w:szCs w:val="20"/>
                <w:lang w:val="en-US"/>
              </w:rPr>
              <w:t>Jml_Kelg</w:t>
            </w:r>
          </w:p>
        </w:tc>
      </w:tr>
      <w:tr w:rsidR="006C72E0" w:rsidRPr="006C72E0" w:rsidTr="003E228E">
        <w:tc>
          <w:tcPr>
            <w:tcW w:w="1164" w:type="dxa"/>
            <w:tcBorders>
              <w:top w:val="single" w:sz="4" w:space="0" w:color="auto"/>
              <w:bottom w:val="nil"/>
            </w:tcBorders>
          </w:tcPr>
          <w:p w:rsidR="006C72E0" w:rsidRPr="006C72E0" w:rsidRDefault="006C72E0" w:rsidP="001B65B7">
            <w:pPr>
              <w:pStyle w:val="NoSpacing"/>
              <w:jc w:val="both"/>
              <w:rPr>
                <w:rFonts w:ascii="Arial" w:hAnsi="Arial" w:cs="Arial"/>
                <w:bCs/>
                <w:color w:val="000000"/>
                <w:sz w:val="20"/>
                <w:szCs w:val="20"/>
              </w:rPr>
            </w:pPr>
            <w:r w:rsidRPr="006C72E0">
              <w:rPr>
                <w:rFonts w:ascii="Arial" w:hAnsi="Arial" w:cs="Arial"/>
                <w:bCs/>
                <w:color w:val="000000"/>
                <w:sz w:val="20"/>
                <w:szCs w:val="20"/>
              </w:rPr>
              <w:t>Belanja</w:t>
            </w:r>
          </w:p>
        </w:tc>
        <w:tc>
          <w:tcPr>
            <w:tcW w:w="1165" w:type="dxa"/>
            <w:tcBorders>
              <w:top w:val="single" w:sz="4" w:space="0" w:color="auto"/>
              <w:bottom w:val="nil"/>
            </w:tcBorders>
          </w:tcPr>
          <w:p w:rsidR="006C72E0" w:rsidRDefault="006C72E0" w:rsidP="006C72E0">
            <w:pPr>
              <w:pStyle w:val="NoSpacing"/>
              <w:jc w:val="center"/>
              <w:rPr>
                <w:rFonts w:ascii="Arial" w:hAnsi="Arial" w:cs="Arial"/>
                <w:bCs/>
                <w:color w:val="000000"/>
                <w:sz w:val="20"/>
                <w:szCs w:val="20"/>
              </w:rPr>
            </w:pPr>
            <w:r w:rsidRPr="006C72E0">
              <w:rPr>
                <w:rFonts w:ascii="Arial" w:hAnsi="Arial" w:cs="Arial"/>
                <w:bCs/>
                <w:color w:val="000000"/>
                <w:sz w:val="20"/>
                <w:szCs w:val="20"/>
              </w:rPr>
              <w:t>0</w:t>
            </w:r>
            <w:r w:rsidR="00F72955">
              <w:rPr>
                <w:rFonts w:ascii="Arial" w:hAnsi="Arial" w:cs="Arial"/>
                <w:bCs/>
                <w:color w:val="000000"/>
                <w:sz w:val="20"/>
                <w:szCs w:val="20"/>
              </w:rPr>
              <w:t>,</w:t>
            </w:r>
            <w:r w:rsidRPr="006C72E0">
              <w:rPr>
                <w:rFonts w:ascii="Arial" w:hAnsi="Arial" w:cs="Arial"/>
                <w:bCs/>
                <w:color w:val="000000"/>
                <w:sz w:val="20"/>
                <w:szCs w:val="20"/>
              </w:rPr>
              <w:t>280</w:t>
            </w:r>
          </w:p>
          <w:p w:rsidR="003E228E" w:rsidRPr="006C72E0" w:rsidRDefault="003E228E" w:rsidP="00F72955">
            <w:pPr>
              <w:pStyle w:val="NoSpacing"/>
              <w:jc w:val="center"/>
              <w:rPr>
                <w:rFonts w:ascii="Arial" w:hAnsi="Arial" w:cs="Arial"/>
                <w:bCs/>
                <w:color w:val="000000"/>
                <w:sz w:val="20"/>
                <w:szCs w:val="20"/>
              </w:rPr>
            </w:pPr>
            <w:r>
              <w:rPr>
                <w:rFonts w:ascii="Arial" w:hAnsi="Arial" w:cs="Arial"/>
                <w:bCs/>
                <w:color w:val="000000"/>
                <w:sz w:val="20"/>
                <w:szCs w:val="20"/>
              </w:rPr>
              <w:t>(0</w:t>
            </w:r>
            <w:r w:rsidR="00F72955">
              <w:rPr>
                <w:rFonts w:ascii="Arial" w:hAnsi="Arial" w:cs="Arial"/>
                <w:bCs/>
                <w:color w:val="000000"/>
                <w:sz w:val="20"/>
                <w:szCs w:val="20"/>
              </w:rPr>
              <w:t>,</w:t>
            </w:r>
            <w:r>
              <w:rPr>
                <w:rFonts w:ascii="Arial" w:hAnsi="Arial" w:cs="Arial"/>
                <w:bCs/>
                <w:color w:val="000000"/>
                <w:sz w:val="20"/>
                <w:szCs w:val="20"/>
              </w:rPr>
              <w:t>002)</w:t>
            </w:r>
          </w:p>
        </w:tc>
        <w:tc>
          <w:tcPr>
            <w:tcW w:w="1165" w:type="dxa"/>
            <w:tcBorders>
              <w:top w:val="single" w:sz="4" w:space="0" w:color="auto"/>
              <w:bottom w:val="nil"/>
            </w:tcBorders>
          </w:tcPr>
          <w:p w:rsidR="006C72E0" w:rsidRPr="006C72E0" w:rsidRDefault="00F72955" w:rsidP="006C72E0">
            <w:pPr>
              <w:pStyle w:val="NoSpacing"/>
              <w:jc w:val="center"/>
              <w:rPr>
                <w:rFonts w:ascii="Arial" w:hAnsi="Arial" w:cs="Arial"/>
                <w:bCs/>
                <w:color w:val="000000"/>
                <w:sz w:val="20"/>
                <w:szCs w:val="20"/>
              </w:rPr>
            </w:pPr>
            <w:r>
              <w:rPr>
                <w:rFonts w:ascii="Arial" w:hAnsi="Arial" w:cs="Arial"/>
                <w:bCs/>
                <w:color w:val="000000"/>
                <w:sz w:val="20"/>
                <w:szCs w:val="20"/>
              </w:rPr>
              <w:t>0,</w:t>
            </w:r>
            <w:r w:rsidR="006C72E0" w:rsidRPr="006C72E0">
              <w:rPr>
                <w:rFonts w:ascii="Arial" w:hAnsi="Arial" w:cs="Arial"/>
                <w:bCs/>
                <w:color w:val="000000"/>
                <w:sz w:val="20"/>
                <w:szCs w:val="20"/>
              </w:rPr>
              <w:t>116</w:t>
            </w:r>
            <w:r>
              <w:rPr>
                <w:rFonts w:ascii="Arial" w:hAnsi="Arial" w:cs="Arial"/>
                <w:bCs/>
                <w:color w:val="000000"/>
                <w:sz w:val="20"/>
                <w:szCs w:val="20"/>
              </w:rPr>
              <w:t xml:space="preserve"> (0,</w:t>
            </w:r>
            <w:r w:rsidR="003E228E">
              <w:rPr>
                <w:rFonts w:ascii="Arial" w:hAnsi="Arial" w:cs="Arial"/>
                <w:bCs/>
                <w:color w:val="000000"/>
                <w:sz w:val="20"/>
                <w:szCs w:val="20"/>
              </w:rPr>
              <w:t>117)</w:t>
            </w:r>
          </w:p>
        </w:tc>
        <w:tc>
          <w:tcPr>
            <w:tcW w:w="1165" w:type="dxa"/>
            <w:tcBorders>
              <w:top w:val="single" w:sz="4" w:space="0" w:color="auto"/>
              <w:bottom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single" w:sz="4" w:space="0" w:color="auto"/>
              <w:bottom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single" w:sz="4" w:space="0" w:color="auto"/>
              <w:bottom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single" w:sz="4" w:space="0" w:color="auto"/>
              <w:bottom w:val="nil"/>
            </w:tcBorders>
          </w:tcPr>
          <w:p w:rsidR="006C72E0" w:rsidRPr="006C72E0" w:rsidRDefault="006C72E0" w:rsidP="001B65B7">
            <w:pPr>
              <w:pStyle w:val="NoSpacing"/>
              <w:jc w:val="both"/>
              <w:rPr>
                <w:rFonts w:ascii="Arial" w:hAnsi="Arial" w:cs="Arial"/>
                <w:bCs/>
                <w:color w:val="000000"/>
                <w:sz w:val="20"/>
                <w:szCs w:val="20"/>
              </w:rPr>
            </w:pPr>
          </w:p>
        </w:tc>
      </w:tr>
      <w:tr w:rsidR="006C72E0" w:rsidRPr="006C72E0" w:rsidTr="003E228E">
        <w:tc>
          <w:tcPr>
            <w:tcW w:w="1164" w:type="dxa"/>
            <w:tcBorders>
              <w:top w:val="nil"/>
            </w:tcBorders>
          </w:tcPr>
          <w:p w:rsidR="006C72E0" w:rsidRPr="006C72E0" w:rsidRDefault="006C72E0" w:rsidP="001B65B7">
            <w:pPr>
              <w:pStyle w:val="NoSpacing"/>
              <w:jc w:val="both"/>
              <w:rPr>
                <w:rFonts w:ascii="Arial" w:hAnsi="Arial" w:cs="Arial"/>
                <w:bCs/>
                <w:color w:val="000000"/>
                <w:sz w:val="20"/>
                <w:szCs w:val="20"/>
              </w:rPr>
            </w:pPr>
            <w:r w:rsidRPr="006C72E0">
              <w:rPr>
                <w:rFonts w:ascii="Arial" w:hAnsi="Arial" w:cs="Arial"/>
                <w:bCs/>
                <w:color w:val="000000"/>
                <w:sz w:val="20"/>
                <w:szCs w:val="20"/>
              </w:rPr>
              <w:t>Konsumsi</w:t>
            </w:r>
          </w:p>
        </w:tc>
        <w:tc>
          <w:tcPr>
            <w:tcW w:w="1165" w:type="dxa"/>
            <w:tcBorders>
              <w:top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nil"/>
            </w:tcBorders>
          </w:tcPr>
          <w:p w:rsidR="006C72E0" w:rsidRPr="006C72E0" w:rsidRDefault="00F72955" w:rsidP="006C72E0">
            <w:pPr>
              <w:pStyle w:val="NoSpacing"/>
              <w:jc w:val="center"/>
              <w:rPr>
                <w:rFonts w:ascii="Arial" w:hAnsi="Arial" w:cs="Arial"/>
                <w:bCs/>
                <w:color w:val="000000"/>
                <w:sz w:val="20"/>
                <w:szCs w:val="20"/>
              </w:rPr>
            </w:pPr>
            <w:r>
              <w:rPr>
                <w:rFonts w:ascii="Arial" w:hAnsi="Arial" w:cs="Arial"/>
                <w:bCs/>
                <w:color w:val="000000"/>
                <w:sz w:val="20"/>
                <w:szCs w:val="20"/>
              </w:rPr>
              <w:t>0,</w:t>
            </w:r>
            <w:r w:rsidR="006C72E0" w:rsidRPr="006C72E0">
              <w:rPr>
                <w:rFonts w:ascii="Arial" w:hAnsi="Arial" w:cs="Arial"/>
                <w:bCs/>
                <w:color w:val="000000"/>
                <w:sz w:val="20"/>
                <w:szCs w:val="20"/>
              </w:rPr>
              <w:t>607</w:t>
            </w:r>
            <w:r>
              <w:rPr>
                <w:rFonts w:ascii="Arial" w:hAnsi="Arial" w:cs="Arial"/>
                <w:bCs/>
                <w:color w:val="000000"/>
                <w:sz w:val="20"/>
                <w:szCs w:val="20"/>
              </w:rPr>
              <w:t xml:space="preserve"> (&lt;0,</w:t>
            </w:r>
            <w:r w:rsidR="003E228E">
              <w:rPr>
                <w:rFonts w:ascii="Arial" w:hAnsi="Arial" w:cs="Arial"/>
                <w:bCs/>
                <w:color w:val="000000"/>
                <w:sz w:val="20"/>
                <w:szCs w:val="20"/>
              </w:rPr>
              <w:t>001)</w:t>
            </w:r>
          </w:p>
        </w:tc>
        <w:tc>
          <w:tcPr>
            <w:tcW w:w="1165" w:type="dxa"/>
            <w:tcBorders>
              <w:top w:val="nil"/>
            </w:tcBorders>
          </w:tcPr>
          <w:p w:rsidR="006C72E0" w:rsidRPr="006C72E0" w:rsidRDefault="006C72E0" w:rsidP="001B65B7">
            <w:pPr>
              <w:pStyle w:val="NoSpacing"/>
              <w:jc w:val="both"/>
              <w:rPr>
                <w:rFonts w:ascii="Arial" w:hAnsi="Arial" w:cs="Arial"/>
                <w:bCs/>
                <w:color w:val="000000"/>
                <w:sz w:val="20"/>
                <w:szCs w:val="20"/>
              </w:rPr>
            </w:pPr>
          </w:p>
        </w:tc>
        <w:tc>
          <w:tcPr>
            <w:tcW w:w="1165" w:type="dxa"/>
            <w:tcBorders>
              <w:top w:val="nil"/>
            </w:tcBorders>
          </w:tcPr>
          <w:p w:rsidR="006C72E0" w:rsidRPr="006C72E0" w:rsidRDefault="006C72E0" w:rsidP="006C72E0">
            <w:pPr>
              <w:pStyle w:val="NoSpacing"/>
              <w:jc w:val="center"/>
              <w:rPr>
                <w:rFonts w:ascii="Arial" w:hAnsi="Arial" w:cs="Arial"/>
                <w:bCs/>
                <w:color w:val="000000"/>
                <w:sz w:val="20"/>
                <w:szCs w:val="20"/>
              </w:rPr>
            </w:pPr>
          </w:p>
        </w:tc>
        <w:tc>
          <w:tcPr>
            <w:tcW w:w="1165" w:type="dxa"/>
            <w:tcBorders>
              <w:top w:val="nil"/>
            </w:tcBorders>
          </w:tcPr>
          <w:p w:rsidR="006C72E0" w:rsidRPr="006C72E0" w:rsidRDefault="00F72955" w:rsidP="003E228E">
            <w:pPr>
              <w:pStyle w:val="NoSpacing"/>
              <w:jc w:val="center"/>
              <w:rPr>
                <w:rFonts w:ascii="Arial" w:hAnsi="Arial" w:cs="Arial"/>
                <w:bCs/>
                <w:color w:val="000000"/>
                <w:sz w:val="20"/>
                <w:szCs w:val="20"/>
              </w:rPr>
            </w:pPr>
            <w:r>
              <w:rPr>
                <w:rFonts w:ascii="Arial" w:hAnsi="Arial" w:cs="Arial"/>
                <w:bCs/>
                <w:color w:val="000000"/>
                <w:sz w:val="20"/>
                <w:szCs w:val="20"/>
              </w:rPr>
              <w:t>-0,</w:t>
            </w:r>
            <w:r w:rsidR="006B5332" w:rsidRPr="006C72E0">
              <w:rPr>
                <w:rFonts w:ascii="Arial" w:hAnsi="Arial" w:cs="Arial"/>
                <w:bCs/>
                <w:color w:val="000000"/>
                <w:sz w:val="20"/>
                <w:szCs w:val="20"/>
              </w:rPr>
              <w:t>175</w:t>
            </w:r>
            <w:r>
              <w:rPr>
                <w:rFonts w:ascii="Arial" w:hAnsi="Arial" w:cs="Arial"/>
                <w:bCs/>
                <w:color w:val="000000"/>
                <w:sz w:val="20"/>
                <w:szCs w:val="20"/>
              </w:rPr>
              <w:t xml:space="preserve"> (0,</w:t>
            </w:r>
            <w:r w:rsidR="003E228E">
              <w:rPr>
                <w:rFonts w:ascii="Arial" w:hAnsi="Arial" w:cs="Arial"/>
                <w:bCs/>
                <w:color w:val="000000"/>
                <w:sz w:val="20"/>
                <w:szCs w:val="20"/>
              </w:rPr>
              <w:t>034)</w:t>
            </w:r>
          </w:p>
        </w:tc>
      </w:tr>
    </w:tbl>
    <w:p w:rsidR="006C72E0" w:rsidRDefault="006C72E0" w:rsidP="006C72E0">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FD070B" w:rsidRPr="00216D38" w:rsidRDefault="00FD070B" w:rsidP="00FD070B">
      <w:pPr>
        <w:pStyle w:val="NoSpacing"/>
        <w:ind w:firstLine="709"/>
        <w:jc w:val="both"/>
        <w:rPr>
          <w:rFonts w:ascii="Arial" w:hAnsi="Arial" w:cs="Arial"/>
          <w:bCs/>
          <w:color w:val="000000"/>
          <w:sz w:val="22"/>
          <w:szCs w:val="22"/>
        </w:rPr>
      </w:pPr>
      <w:r w:rsidRPr="00216D38">
        <w:rPr>
          <w:rFonts w:ascii="Arial" w:hAnsi="Arial" w:cs="Arial"/>
          <w:bCs/>
          <w:color w:val="000000"/>
          <w:sz w:val="22"/>
          <w:szCs w:val="22"/>
        </w:rPr>
        <w:lastRenderedPageBreak/>
        <w:t xml:space="preserve">Pengaruh belanja pangan diperkuat oleh variabel moderasi yakni jumlah anggota keluarga yang signifikan </w:t>
      </w:r>
      <w:r>
        <w:rPr>
          <w:rFonts w:ascii="Arial" w:hAnsi="Arial" w:cs="Arial"/>
          <w:bCs/>
          <w:color w:val="000000"/>
          <w:sz w:val="22"/>
          <w:szCs w:val="22"/>
        </w:rPr>
        <w:t>namun dengan</w:t>
      </w:r>
      <w:r w:rsidRPr="00216D38">
        <w:rPr>
          <w:rFonts w:ascii="Arial" w:hAnsi="Arial" w:cs="Arial"/>
          <w:bCs/>
          <w:color w:val="000000"/>
          <w:sz w:val="22"/>
          <w:szCs w:val="22"/>
        </w:rPr>
        <w:t xml:space="preserve"> path coefficient </w:t>
      </w:r>
      <w:r>
        <w:rPr>
          <w:rFonts w:ascii="Arial" w:hAnsi="Arial" w:cs="Arial"/>
          <w:bCs/>
          <w:color w:val="000000"/>
          <w:sz w:val="22"/>
          <w:szCs w:val="22"/>
        </w:rPr>
        <w:t>nega</w:t>
      </w:r>
      <w:r w:rsidRPr="00216D38">
        <w:rPr>
          <w:rFonts w:ascii="Arial" w:hAnsi="Arial" w:cs="Arial"/>
          <w:bCs/>
          <w:color w:val="000000"/>
          <w:sz w:val="22"/>
          <w:szCs w:val="22"/>
        </w:rPr>
        <w:t>tif.</w:t>
      </w:r>
      <w:r>
        <w:rPr>
          <w:rFonts w:ascii="Arial" w:hAnsi="Arial" w:cs="Arial"/>
          <w:bCs/>
          <w:color w:val="000000"/>
          <w:sz w:val="22"/>
          <w:szCs w:val="22"/>
        </w:rPr>
        <w:t xml:space="preserve"> Hipotesis (H4) diterima, artinya ada pengaruh signifikan moderasi jumlah anggota keluarga pada pengaruh nilai belanja terhadap konsumsi pangan rumahtangga petani. </w:t>
      </w:r>
    </w:p>
    <w:p w:rsidR="00B11273" w:rsidRPr="00CB5687" w:rsidRDefault="00B11273" w:rsidP="00B11273">
      <w:pPr>
        <w:pStyle w:val="NoSpacing"/>
        <w:ind w:firstLine="709"/>
        <w:jc w:val="both"/>
        <w:rPr>
          <w:rFonts w:ascii="Arial" w:hAnsi="Arial" w:cs="Arial"/>
          <w:bCs/>
          <w:sz w:val="22"/>
          <w:szCs w:val="22"/>
        </w:rPr>
      </w:pPr>
      <w:r w:rsidRPr="00FD070B">
        <w:rPr>
          <w:rFonts w:ascii="Arial" w:hAnsi="Arial" w:cs="Arial"/>
          <w:bCs/>
          <w:sz w:val="22"/>
          <w:szCs w:val="22"/>
        </w:rPr>
        <w:t>Belanja pangan dimoderasi oleh jumlah anggota keluarga secara signifikan. Artinya, jumlah anggota keluarga memperkuat pengaruh belanja pangan terhadap konsumsi pangan rumahtangga.</w:t>
      </w:r>
      <w:r w:rsidR="003D17F4" w:rsidRPr="00FD070B">
        <w:rPr>
          <w:rFonts w:ascii="Arial" w:hAnsi="Arial" w:cs="Arial"/>
          <w:bCs/>
          <w:sz w:val="22"/>
          <w:szCs w:val="22"/>
        </w:rPr>
        <w:t xml:space="preserve"> Namun disini koefisien path yang</w:t>
      </w:r>
      <w:r w:rsidR="00F72955">
        <w:rPr>
          <w:rFonts w:ascii="Arial" w:hAnsi="Arial" w:cs="Arial"/>
          <w:bCs/>
          <w:sz w:val="22"/>
          <w:szCs w:val="22"/>
        </w:rPr>
        <w:t xml:space="preserve"> diperoleh bernilai negatif (-0,</w:t>
      </w:r>
      <w:r w:rsidR="003D17F4" w:rsidRPr="00FD070B">
        <w:rPr>
          <w:rFonts w:ascii="Arial" w:hAnsi="Arial" w:cs="Arial"/>
          <w:bCs/>
          <w:sz w:val="22"/>
          <w:szCs w:val="22"/>
        </w:rPr>
        <w:t>175). Artinya semakin banyak jumlah anggota keluarga tidak menambah konsumsi pangan. Pada keluarga petani</w:t>
      </w:r>
      <w:r w:rsidR="00F72955">
        <w:rPr>
          <w:rFonts w:ascii="Arial" w:hAnsi="Arial" w:cs="Arial"/>
          <w:bCs/>
          <w:sz w:val="22"/>
          <w:szCs w:val="22"/>
        </w:rPr>
        <w:t xml:space="preserve"> </w:t>
      </w:r>
      <w:r w:rsidR="003D17F4" w:rsidRPr="00FD070B">
        <w:rPr>
          <w:rFonts w:ascii="Arial" w:hAnsi="Arial" w:cs="Arial"/>
          <w:bCs/>
          <w:sz w:val="22"/>
          <w:szCs w:val="22"/>
        </w:rPr>
        <w:t>dengan keterbatasan pendapatan maka upaya yang mereka lakukan adalah mencukupkan pangan yang dimiliki, meskipun</w:t>
      </w:r>
      <w:r w:rsidRPr="00FD070B">
        <w:rPr>
          <w:rFonts w:ascii="Arial" w:hAnsi="Arial" w:cs="Arial"/>
          <w:bCs/>
          <w:sz w:val="22"/>
          <w:szCs w:val="22"/>
        </w:rPr>
        <w:t xml:space="preserve"> </w:t>
      </w:r>
      <w:r w:rsidR="003D17F4" w:rsidRPr="00FD070B">
        <w:rPr>
          <w:rFonts w:ascii="Arial" w:hAnsi="Arial" w:cs="Arial"/>
          <w:bCs/>
          <w:sz w:val="22"/>
          <w:szCs w:val="22"/>
        </w:rPr>
        <w:t xml:space="preserve">jumlah anggota keluarga lebih </w:t>
      </w:r>
      <w:r w:rsidR="003D17F4" w:rsidRPr="00CB5687">
        <w:rPr>
          <w:rFonts w:ascii="Arial" w:hAnsi="Arial" w:cs="Arial"/>
          <w:bCs/>
          <w:sz w:val="22"/>
          <w:szCs w:val="22"/>
        </w:rPr>
        <w:t>banyak.</w:t>
      </w:r>
      <w:r w:rsidR="00FD070B" w:rsidRPr="00CB5687">
        <w:rPr>
          <w:rFonts w:ascii="Arial" w:hAnsi="Arial" w:cs="Arial"/>
          <w:bCs/>
          <w:sz w:val="22"/>
          <w:szCs w:val="22"/>
        </w:rPr>
        <w:t xml:space="preserve"> </w:t>
      </w:r>
      <w:r w:rsidR="00F72955" w:rsidRPr="00CB5687">
        <w:rPr>
          <w:rFonts w:ascii="Arial" w:hAnsi="Arial" w:cs="Arial"/>
          <w:bCs/>
          <w:sz w:val="22"/>
          <w:szCs w:val="22"/>
        </w:rPr>
        <w:t xml:space="preserve">Temuan ini justru berbeda dengan </w:t>
      </w:r>
      <w:r w:rsidR="00F72955" w:rsidRPr="00CB5687">
        <w:rPr>
          <w:rFonts w:ascii="Arial" w:hAnsi="Arial" w:cs="Arial"/>
          <w:bCs/>
          <w:sz w:val="22"/>
          <w:szCs w:val="22"/>
        </w:rPr>
        <w:fldChar w:fldCharType="begin" w:fldLock="1"/>
      </w:r>
      <w:r w:rsidR="00F72955" w:rsidRPr="00CB5687">
        <w:rPr>
          <w:rFonts w:ascii="Arial" w:hAnsi="Arial" w:cs="Arial"/>
          <w:bCs/>
          <w:sz w:val="22"/>
          <w:szCs w:val="22"/>
        </w:rPr>
        <w:instrText>ADDIN CSL_CITATION { "citationItems" : [ { "id" : "ITEM-1", "itemData" : { "DOI" : "10.33512/jat.v11i2.5091", "ISSN" : "1979-4991", "abstract" : "One way to know food self-sufficiency through the quality of food consumption diversity as measured by Food Harvest Scale (PPH) scores, hereinafter abbreviated as PPH. PPH can be used as a measure of nutritional balance and food diversity consumed by residents in a region. The maximum PPH score, 100 indicates the diverse food consumption situation and both the composition and quality of nutrition (Baliwati, 2011). In practice, the achievement of food quality and quantity indicator in Bandung Regency has not been achieved. This study aims to determine the size of family, education level, and income level of PPH in Bandung regency. The basic method of this research is the explanatory method (Eksplanatory Research). The determination of Paseh and Pasirjambu sub-districts was conducted by purposive sampling, which is determined by the highest and lowest kecamatan PPH. Furthermore the size of respondents using Slovin techniques. To know the factors that influence the PPH in Bandung regency using multiple regression analysis technique and the test is done by using SPSS 20 program. The result of the research shows that the family size, education level and income level have positive influence on PPH Kabupaten Bandung. This 126", "author" : [ { "dropping-particle" : "", "family" : "Argandi", "given" : "Syaeful", "non-dropping-particle" : "", "parse-names" : false, "suffix" : "" }, { "dropping-particle" : "", "family" : "Trimo", "given" : "Lucyana", "non-dropping-particle" : "", "parse-names" : false, "suffix" : "" }, { "dropping-particle" : "", "family" : "Noor", "given" : "Trisna Insan", "non-dropping-particle" : "", "parse-names" : false, "suffix" : "" } ], "container-title" : "Jurnal Agribisnis Terpadu", "id" : "ITEM-1", "issue" : "2", "issued" : { "date-parts" : [ [ "2018" ] ] }, "page" : "126", "title" : "Faktor\u2013Faktor Yang Mempengaruhi Pola Pangan Harapan (PPH) Di Kabupaten Bandung", "type" : "article-journal", "volume" : "11" }, "uris" : [ "http://www.mendeley.com/documents/?uuid=7052630f-2039-4ddf-b050-e7b20dd78099" ] } ], "mendeley" : { "formattedCitation" : "(Argandi et al., 2018)", "plainTextFormattedCitation" : "(Argandi et al., 2018)", "previouslyFormattedCitation" : "(Argandi et al., 2018)" }, "properties" : {  }, "schema" : "https://github.com/citation-style-language/schema/raw/master/csl-citation.json" }</w:instrText>
      </w:r>
      <w:r w:rsidR="00F72955" w:rsidRPr="00CB5687">
        <w:rPr>
          <w:rFonts w:ascii="Arial" w:hAnsi="Arial" w:cs="Arial"/>
          <w:bCs/>
          <w:sz w:val="22"/>
          <w:szCs w:val="22"/>
        </w:rPr>
        <w:fldChar w:fldCharType="separate"/>
      </w:r>
      <w:r w:rsidR="00F72955" w:rsidRPr="00CB5687">
        <w:rPr>
          <w:rFonts w:ascii="Arial" w:hAnsi="Arial" w:cs="Arial"/>
          <w:bCs/>
          <w:noProof/>
          <w:sz w:val="22"/>
          <w:szCs w:val="22"/>
        </w:rPr>
        <w:t>(Argandi et al., 2018)</w:t>
      </w:r>
      <w:r w:rsidR="00F72955" w:rsidRPr="00CB5687">
        <w:rPr>
          <w:rFonts w:ascii="Arial" w:hAnsi="Arial" w:cs="Arial"/>
          <w:bCs/>
          <w:sz w:val="22"/>
          <w:szCs w:val="22"/>
        </w:rPr>
        <w:fldChar w:fldCharType="end"/>
      </w:r>
      <w:r w:rsidR="00F72955" w:rsidRPr="00CB5687">
        <w:rPr>
          <w:rFonts w:ascii="Arial" w:hAnsi="Arial" w:cs="Arial"/>
          <w:bCs/>
          <w:sz w:val="22"/>
          <w:szCs w:val="22"/>
        </w:rPr>
        <w:t xml:space="preserve"> bahwa semakin banyak jumlah anggota keluarga semakin banyak bela</w:t>
      </w:r>
      <w:r w:rsidR="00533628" w:rsidRPr="00CB5687">
        <w:rPr>
          <w:rFonts w:ascii="Arial" w:hAnsi="Arial" w:cs="Arial"/>
          <w:bCs/>
          <w:sz w:val="22"/>
          <w:szCs w:val="22"/>
        </w:rPr>
        <w:t xml:space="preserve">nja konsumsi pangan rumahtangga, juga berbeda dengan </w:t>
      </w:r>
      <w:r w:rsidR="00533628" w:rsidRPr="00CB5687">
        <w:rPr>
          <w:rFonts w:ascii="Arial" w:hAnsi="Arial" w:cs="Arial"/>
          <w:bCs/>
          <w:sz w:val="22"/>
          <w:szCs w:val="22"/>
        </w:rPr>
        <w:fldChar w:fldCharType="begin" w:fldLock="1"/>
      </w:r>
      <w:r w:rsidR="00533628" w:rsidRPr="00CB5687">
        <w:rPr>
          <w:rFonts w:ascii="Arial" w:hAnsi="Arial" w:cs="Arial"/>
          <w:bCs/>
          <w:sz w:val="22"/>
          <w:szCs w:val="22"/>
        </w:rPr>
        <w:instrText>ADDIN CSL_CITATION { "citationItems" : [ { "id" : "ITEM-1", "itemData" : { "DOI" : "10.21831/economia.v12i1.9544", "ISSN" : "1858-2648", "abstract" : "Abstrak: Analisis Elastisitas Tiga Bahan Pangan Sumber Protein Hewani di Indonesia. Penelitian ini bertujuan untuk menganalisis perilaku permintaan rumah tangga atas tiga sumber protein hewani (ikan, daging sapi, dan daging ayam) dikaitkan dengan karakteristik rumah tangga yang berbeda dan menganalisis respon rumah tangga di Indonesia terhadap perubahan harga dan pendapatan pada konsumsi ketiga komoditas tersebut. Model yang digunakan untuk melakukan estimasi adalah model Almost Ideal Demand System (AIDS), dengan menggunakan data dari Indonesia Family Life Survey\u00a0 gelombang 4 (IFLS 4). Jumlah rumah tangga sumber data yang dianalisis dalam penelitian ini berjumlah 839 rumah tangga.\u00a0 Hasil penelitian menunjukkan secara parsial harga ikan, harga daging sapi, pengeluaran rumah tangga, wilayah geografi, dan jumlah anggota keluarga berpengaruh terhadap pangsa pengeluaran untuk produk ikan-ikanan, daging ayam, dan daging sapi. Elastisitas permintaan harga permintaan untuk ikan, daging sapi, dan daging ayam masuk dalam kategori inelastis, elastisitas pendapatan untuk daging sapi dan daging ayam masuk kategori elastis, dan ikan mempunyai elastisitas pendapatan yang inelastic.\u00a0Kata kunci: model Almost Ideal Demand System (AIDS), elastisitas harga permintaan, elastisitas silang, elastisitas pendapatan.\u00a0Abstract: Elasticity Analysis for Three Animal Protein Resources in Indonesia. This study aimed to analyze the behavior of household demand on three sources of animal protein (fish, beef, and chicken) were associated with different household characteristics and analyze the response of households in Indonesia to changes in price and income on the consumption of fish, beef, and chicken. Almost Ideal Demand System (AIDS) was adopted in this study, using data from the Indonesia Family Life Survey wave 4 (IFLS 4). Total number of the household analyzed in this study amounted to 839 households. The results showed that partially price of fish, beef prices, household expenditure, geographic region, and number of family members affect the share of expenditure fisheries products, chicken, and beef. The results implied that Price elasticity of demand for demand for fish, beef, and chicken were categorized as inelastic. While the income elasticity for beef and chicken were elastic, furthermore income elasticity for fish was inelastic.\u00a0Keywords:\u00a0 Almost Ideal Demand System (AIDS) model, demand price elasticity, cross elasticity of demand, income elasticity of demand.", "author" : [ { "dropping-particle" : "", "family" : "Wahyuni", "given" : "Daru", "non-dropping-particle" : "", "parse-names" : false, "suffix" : "" }, { "dropping-particle" : "", "family" : "Purnastuti", "given" : "Losina", "non-dropping-particle" : "", "parse-names" : false, "suffix" : "" }, { "dropping-particle" : "", "family" : "Mustofa", "given" : "Mustofa", "non-dropping-particle" : "", "parse-names" : false, "suffix" : "" } ], "container-title" : "Jurnal Economia", "id" : "ITEM-1", "issue" : "1", "issued" : { "date-parts" : [ [ "2016" ] ] }, "page" : "43", "title" : "Analisis Elastisitas Tiga Bahan Pangan Sumber Protein Hewani Di Indonesia", "type" : "article-journal", "volume" : "12" }, "uris" : [ "http://www.mendeley.com/documents/?uuid=128f297c-078a-49b6-9142-3bbeda011f06" ] } ], "mendeley" : { "formattedCitation" : "(Wahyuni, Purnastuti, &amp; Mustofa, 2016)", "plainTextFormattedCitation" : "(Wahyuni, Purnastuti, &amp; Mustofa, 2016)", "previouslyFormattedCitation" : "(Wahyuni, Purnastuti, &amp; Mustofa, 2016)" }, "properties" : {  }, "schema" : "https://github.com/citation-style-language/schema/raw/master/csl-citation.json" }</w:instrText>
      </w:r>
      <w:r w:rsidR="00533628" w:rsidRPr="00CB5687">
        <w:rPr>
          <w:rFonts w:ascii="Arial" w:hAnsi="Arial" w:cs="Arial"/>
          <w:bCs/>
          <w:sz w:val="22"/>
          <w:szCs w:val="22"/>
        </w:rPr>
        <w:fldChar w:fldCharType="separate"/>
      </w:r>
      <w:r w:rsidR="00533628" w:rsidRPr="00CB5687">
        <w:rPr>
          <w:rFonts w:ascii="Arial" w:hAnsi="Arial" w:cs="Arial"/>
          <w:bCs/>
          <w:noProof/>
          <w:sz w:val="22"/>
          <w:szCs w:val="22"/>
        </w:rPr>
        <w:t>(Wahyuni, Purnastuti, &amp; Mustofa, 2016)</w:t>
      </w:r>
      <w:r w:rsidR="00533628" w:rsidRPr="00CB5687">
        <w:rPr>
          <w:rFonts w:ascii="Arial" w:hAnsi="Arial" w:cs="Arial"/>
          <w:bCs/>
          <w:sz w:val="22"/>
          <w:szCs w:val="22"/>
        </w:rPr>
        <w:fldChar w:fldCharType="end"/>
      </w:r>
      <w:r w:rsidR="00533628" w:rsidRPr="00CB5687">
        <w:rPr>
          <w:rFonts w:ascii="Arial" w:hAnsi="Arial" w:cs="Arial"/>
          <w:bCs/>
          <w:sz w:val="22"/>
          <w:szCs w:val="22"/>
        </w:rPr>
        <w:t xml:space="preserve"> bahwa jumlah anggota keluarga berpengaruh </w:t>
      </w:r>
      <w:r w:rsidR="00CB5687" w:rsidRPr="00CB5687">
        <w:rPr>
          <w:rFonts w:ascii="Arial" w:hAnsi="Arial" w:cs="Arial"/>
          <w:bCs/>
          <w:sz w:val="22"/>
          <w:szCs w:val="22"/>
        </w:rPr>
        <w:t xml:space="preserve">positif </w:t>
      </w:r>
      <w:r w:rsidR="00533628" w:rsidRPr="00CB5687">
        <w:rPr>
          <w:rFonts w:ascii="Arial" w:hAnsi="Arial" w:cs="Arial"/>
          <w:bCs/>
          <w:sz w:val="22"/>
          <w:szCs w:val="22"/>
        </w:rPr>
        <w:t>terhadap belanja pangan hewani.</w:t>
      </w:r>
      <w:r w:rsidR="00CB5687" w:rsidRPr="00CB5687">
        <w:rPr>
          <w:rFonts w:ascii="Arial" w:hAnsi="Arial" w:cs="Arial"/>
          <w:bCs/>
          <w:sz w:val="22"/>
          <w:szCs w:val="22"/>
        </w:rPr>
        <w:t xml:space="preserve"> Penelitian di Bangladesh juga menunjukkan rata-rata konsumsi ayam, daging dan telur dengan rata-rata yang makin besar pada keluarga dengan jumlah anggota yang lebih besar </w:t>
      </w:r>
      <w:r w:rsidR="00CB5687" w:rsidRPr="00CB5687">
        <w:rPr>
          <w:rFonts w:ascii="Arial" w:hAnsi="Arial" w:cs="Arial"/>
          <w:bCs/>
          <w:sz w:val="22"/>
          <w:szCs w:val="22"/>
        </w:rPr>
        <w:fldChar w:fldCharType="begin" w:fldLock="1"/>
      </w:r>
      <w:r w:rsidR="00CB5687" w:rsidRPr="00CB5687">
        <w:rPr>
          <w:rFonts w:ascii="Arial" w:hAnsi="Arial" w:cs="Arial"/>
          <w:bCs/>
          <w:sz w:val="22"/>
          <w:szCs w:val="22"/>
        </w:rPr>
        <w:instrText>ADDIN CSL_CITATION { "citationItems" : [ { "id" : "ITEM-1", "itemData" : { "author" : [ { "dropping-particle" : "", "family" : "Islam", "given" : "Md. Jakiul", "non-dropping-particle" : "", "parse-names" : false, "suffix" : "" }, { "dropping-particle" : "", "family" : "Sayeed", "given" : "Md.Abu", "non-dropping-particle" : "", "parse-names" : false, "suffix" : "" }, { "dropping-particle" : "", "family" : "Akhtar", "given" : "Shakil", "non-dropping-particle" : "", "parse-names" : false, "suffix" : "" } ], "container-title" : "British Food Journal", "id" : "ITEM-1", "issue" : "12", "issued" : { "date-parts" : [ [ "2018" ] ] }, "page" : "2818-2831", "title" : "Consumers profile analysis towards chicken, beef, mutton, fish and egg consumption in Bangladesh", "type" : "article-journal", "volume" : "130" }, "uris" : [ "http://www.mendeley.com/documents/?uuid=58f50e02-0eb1-4c26-affb-2b2d2346d66c" ] } ], "mendeley" : { "formattedCitation" : "(Islam, Sayeed, &amp; Akhtar, 2018)", "plainTextFormattedCitation" : "(Islam, Sayeed, &amp; Akhtar, 2018)", "previouslyFormattedCitation" : "(Islam, Sayeed, &amp; Akhtar, 2018)" }, "properties" : {  }, "schema" : "https://github.com/citation-style-language/schema/raw/master/csl-citation.json" }</w:instrText>
      </w:r>
      <w:r w:rsidR="00CB5687" w:rsidRPr="00CB5687">
        <w:rPr>
          <w:rFonts w:ascii="Arial" w:hAnsi="Arial" w:cs="Arial"/>
          <w:bCs/>
          <w:sz w:val="22"/>
          <w:szCs w:val="22"/>
        </w:rPr>
        <w:fldChar w:fldCharType="separate"/>
      </w:r>
      <w:r w:rsidR="00CB5687" w:rsidRPr="00CB5687">
        <w:rPr>
          <w:rFonts w:ascii="Arial" w:hAnsi="Arial" w:cs="Arial"/>
          <w:bCs/>
          <w:noProof/>
          <w:sz w:val="22"/>
          <w:szCs w:val="22"/>
        </w:rPr>
        <w:t>(Islam, Sayeed, &amp; Akhtar, 2018)</w:t>
      </w:r>
      <w:r w:rsidR="00CB5687" w:rsidRPr="00CB5687">
        <w:rPr>
          <w:rFonts w:ascii="Arial" w:hAnsi="Arial" w:cs="Arial"/>
          <w:bCs/>
          <w:sz w:val="22"/>
          <w:szCs w:val="22"/>
        </w:rPr>
        <w:fldChar w:fldCharType="end"/>
      </w:r>
      <w:r w:rsidR="00CB5687" w:rsidRPr="00CB5687">
        <w:rPr>
          <w:rFonts w:ascii="Arial" w:hAnsi="Arial" w:cs="Arial"/>
          <w:bCs/>
          <w:sz w:val="22"/>
          <w:szCs w:val="22"/>
        </w:rPr>
        <w:t>.</w:t>
      </w:r>
    </w:p>
    <w:p w:rsidR="001B65B7" w:rsidRDefault="001B65B7" w:rsidP="001B65B7">
      <w:pPr>
        <w:pStyle w:val="NoSpacing"/>
        <w:jc w:val="both"/>
        <w:rPr>
          <w:rFonts w:ascii="Arial" w:hAnsi="Arial" w:cs="Arial"/>
          <w:bCs/>
          <w:color w:val="000000"/>
          <w:sz w:val="22"/>
          <w:szCs w:val="22"/>
        </w:rPr>
      </w:pPr>
    </w:p>
    <w:p w:rsidR="0027611A" w:rsidRDefault="0027611A" w:rsidP="0027611A">
      <w:pPr>
        <w:pStyle w:val="NoSpacing"/>
        <w:jc w:val="both"/>
        <w:rPr>
          <w:rFonts w:ascii="Arial" w:hAnsi="Arial" w:cs="Arial"/>
          <w:b/>
          <w:bCs/>
          <w:color w:val="000000"/>
          <w:sz w:val="22"/>
          <w:szCs w:val="22"/>
          <w:lang w:val="id-ID"/>
        </w:rPr>
      </w:pPr>
      <w:r>
        <w:rPr>
          <w:rFonts w:ascii="Arial" w:hAnsi="Arial" w:cs="Arial"/>
          <w:b/>
          <w:bCs/>
          <w:color w:val="000000"/>
          <w:sz w:val="22"/>
          <w:szCs w:val="22"/>
          <w:lang w:val="id-ID"/>
        </w:rPr>
        <w:t>SIMPULAN</w:t>
      </w:r>
    </w:p>
    <w:p w:rsidR="00452E6A" w:rsidRDefault="00BC6114" w:rsidP="00BC6114">
      <w:pPr>
        <w:spacing w:after="0" w:line="240" w:lineRule="auto"/>
        <w:jc w:val="both"/>
        <w:rPr>
          <w:rFonts w:ascii="Arial" w:hAnsi="Arial" w:cs="Arial"/>
          <w:lang w:val="sv-SE"/>
        </w:rPr>
      </w:pPr>
      <w:r>
        <w:rPr>
          <w:rFonts w:ascii="Arial" w:hAnsi="Arial" w:cs="Arial"/>
          <w:lang w:val="sv-SE"/>
        </w:rPr>
        <w:t>P</w:t>
      </w:r>
      <w:r w:rsidRPr="00BC6114">
        <w:rPr>
          <w:rFonts w:ascii="Arial" w:hAnsi="Arial" w:cs="Arial"/>
          <w:lang w:val="sv-SE"/>
        </w:rPr>
        <w:t xml:space="preserve">etani yang hanya bertanam di lahan waduk mempunyai pendapatan sangat rendah, meskipun </w:t>
      </w:r>
      <w:r w:rsidR="005E1F42">
        <w:rPr>
          <w:rFonts w:ascii="Arial" w:hAnsi="Arial" w:cs="Arial"/>
          <w:lang w:val="sv-SE"/>
        </w:rPr>
        <w:t xml:space="preserve">sebagian </w:t>
      </w:r>
      <w:r w:rsidRPr="00BC6114">
        <w:rPr>
          <w:rFonts w:ascii="Arial" w:hAnsi="Arial" w:cs="Arial"/>
          <w:lang w:val="sv-SE"/>
        </w:rPr>
        <w:t xml:space="preserve">mereka </w:t>
      </w:r>
      <w:r w:rsidR="005E1F42">
        <w:rPr>
          <w:rFonts w:ascii="Arial" w:hAnsi="Arial" w:cs="Arial"/>
          <w:lang w:val="sv-SE"/>
        </w:rPr>
        <w:t>juga</w:t>
      </w:r>
      <w:r w:rsidRPr="00BC6114">
        <w:rPr>
          <w:rFonts w:ascii="Arial" w:hAnsi="Arial" w:cs="Arial"/>
          <w:lang w:val="sv-SE"/>
        </w:rPr>
        <w:t xml:space="preserve"> bekerja sebagai buruh tani atau pekerjaan non-pertanian. Alokasi belanja pangan pali</w:t>
      </w:r>
      <w:r w:rsidR="00684DCA">
        <w:rPr>
          <w:rFonts w:ascii="Arial" w:hAnsi="Arial" w:cs="Arial"/>
          <w:lang w:val="sv-SE"/>
        </w:rPr>
        <w:t>ng besar untuk membeli beras (26,2%) dan sumber protein hewani (16,3</w:t>
      </w:r>
      <w:r w:rsidRPr="00BC6114">
        <w:rPr>
          <w:rFonts w:ascii="Arial" w:hAnsi="Arial" w:cs="Arial"/>
          <w:lang w:val="sv-SE"/>
        </w:rPr>
        <w:t>%).</w:t>
      </w:r>
      <w:r w:rsidRPr="007A03D1">
        <w:rPr>
          <w:rFonts w:ascii="Arial" w:hAnsi="Arial" w:cs="Arial"/>
          <w:i/>
          <w:lang w:val="sv-SE"/>
        </w:rPr>
        <w:t xml:space="preserve"> </w:t>
      </w:r>
      <w:r w:rsidRPr="00BC6114">
        <w:rPr>
          <w:rFonts w:ascii="Arial" w:hAnsi="Arial" w:cs="Arial"/>
          <w:lang w:val="sv-SE"/>
        </w:rPr>
        <w:t>Konsumsi pangan rumahtangga petani dipengaruhi usahatani, alokasi belanja pangan, dan di</w:t>
      </w:r>
      <w:r w:rsidR="00CB5687">
        <w:rPr>
          <w:rFonts w:ascii="Arial" w:hAnsi="Arial" w:cs="Arial"/>
          <w:lang w:val="sv-SE"/>
        </w:rPr>
        <w:t>moderasi</w:t>
      </w:r>
      <w:r w:rsidRPr="00BC6114">
        <w:rPr>
          <w:rFonts w:ascii="Arial" w:hAnsi="Arial" w:cs="Arial"/>
          <w:lang w:val="sv-SE"/>
        </w:rPr>
        <w:t xml:space="preserve"> oleh jumlah anggota keluarga.</w:t>
      </w:r>
      <w:r>
        <w:rPr>
          <w:rFonts w:ascii="Arial" w:hAnsi="Arial" w:cs="Arial"/>
          <w:lang w:val="sv-SE"/>
        </w:rPr>
        <w:t xml:space="preserve"> </w:t>
      </w:r>
      <w:r w:rsidR="00CB5687">
        <w:rPr>
          <w:rFonts w:ascii="Arial" w:hAnsi="Arial" w:cs="Arial"/>
          <w:lang w:val="sv-SE"/>
        </w:rPr>
        <w:t>Namun temuan penelitian jumlah anggota justru tidak meningkatkan</w:t>
      </w:r>
      <w:r w:rsidR="00A41BC0">
        <w:rPr>
          <w:rFonts w:ascii="Arial" w:hAnsi="Arial" w:cs="Arial"/>
          <w:lang w:val="sv-SE"/>
        </w:rPr>
        <w:t xml:space="preserve"> jumlah konsumsi pangan.</w:t>
      </w:r>
      <w:r w:rsidR="00CB5687">
        <w:rPr>
          <w:rFonts w:ascii="Arial" w:hAnsi="Arial" w:cs="Arial"/>
          <w:lang w:val="sv-SE"/>
        </w:rPr>
        <w:t xml:space="preserve"> </w:t>
      </w:r>
      <w:r w:rsidR="0044044C">
        <w:rPr>
          <w:rFonts w:ascii="Arial" w:hAnsi="Arial" w:cs="Arial"/>
          <w:lang w:val="sv-SE"/>
        </w:rPr>
        <w:t xml:space="preserve">Simpulannya adalah petani ”Waduk Pacal” belum mencapai ketahanan pangan rumahtangga. </w:t>
      </w:r>
      <w:r w:rsidR="006E0ED7" w:rsidRPr="00216D38">
        <w:rPr>
          <w:rFonts w:ascii="Arial" w:hAnsi="Arial" w:cs="Arial"/>
          <w:bCs/>
          <w:color w:val="000000"/>
        </w:rPr>
        <w:t>Rekomendasi</w:t>
      </w:r>
      <w:r w:rsidR="006E0ED7">
        <w:rPr>
          <w:rFonts w:ascii="Arial" w:hAnsi="Arial" w:cs="Arial"/>
          <w:bCs/>
          <w:color w:val="000000"/>
        </w:rPr>
        <w:t xml:space="preserve"> yang diberikan adalah p</w:t>
      </w:r>
      <w:r w:rsidR="006E0ED7" w:rsidRPr="00216D38">
        <w:rPr>
          <w:rFonts w:ascii="Arial" w:hAnsi="Arial" w:cs="Arial"/>
          <w:bCs/>
          <w:color w:val="000000"/>
        </w:rPr>
        <w:t>etani Waduk Pacal perlu pendampingan budidaya lahan pasang surut, agar mereka dapat mengantisipasi risiko banjir waduk</w:t>
      </w:r>
      <w:r w:rsidR="006E0ED7">
        <w:rPr>
          <w:rFonts w:ascii="Arial" w:hAnsi="Arial" w:cs="Arial"/>
          <w:bCs/>
          <w:color w:val="000000"/>
        </w:rPr>
        <w:t>.</w:t>
      </w:r>
      <w:r w:rsidR="00452E6A">
        <w:rPr>
          <w:rFonts w:ascii="Arial" w:hAnsi="Arial" w:cs="Arial"/>
          <w:bCs/>
          <w:color w:val="000000"/>
        </w:rPr>
        <w:t xml:space="preserve"> </w:t>
      </w:r>
      <w:r w:rsidR="00452E6A" w:rsidRPr="00452E6A">
        <w:rPr>
          <w:rFonts w:ascii="Arial" w:hAnsi="Arial" w:cs="Arial"/>
          <w:lang w:val="sv-SE"/>
        </w:rPr>
        <w:t>Pemerintah setempat</w:t>
      </w:r>
      <w:r w:rsidR="00452E6A">
        <w:rPr>
          <w:rFonts w:ascii="Arial" w:hAnsi="Arial" w:cs="Arial"/>
          <w:lang w:val="sv-SE"/>
        </w:rPr>
        <w:t xml:space="preserve"> perlu memikirkan fasilitasi</w:t>
      </w:r>
      <w:r w:rsidR="00452E6A" w:rsidRPr="00452E6A">
        <w:rPr>
          <w:rFonts w:ascii="Arial" w:hAnsi="Arial" w:cs="Arial"/>
          <w:lang w:val="sv-SE"/>
        </w:rPr>
        <w:t xml:space="preserve"> </w:t>
      </w:r>
      <w:r w:rsidR="00452E6A">
        <w:rPr>
          <w:rFonts w:ascii="Arial" w:hAnsi="Arial" w:cs="Arial"/>
          <w:lang w:val="sv-SE"/>
        </w:rPr>
        <w:t>p</w:t>
      </w:r>
      <w:r w:rsidR="00452E6A" w:rsidRPr="00452E6A">
        <w:rPr>
          <w:rFonts w:ascii="Arial" w:hAnsi="Arial" w:cs="Arial"/>
          <w:lang w:val="sv-SE"/>
        </w:rPr>
        <w:t>embuka</w:t>
      </w:r>
      <w:r w:rsidR="00452E6A">
        <w:rPr>
          <w:rFonts w:ascii="Arial" w:hAnsi="Arial" w:cs="Arial"/>
          <w:lang w:val="sv-SE"/>
        </w:rPr>
        <w:t>an</w:t>
      </w:r>
      <w:r w:rsidR="00452E6A" w:rsidRPr="00452E6A">
        <w:rPr>
          <w:rFonts w:ascii="Arial" w:hAnsi="Arial" w:cs="Arial"/>
          <w:lang w:val="sv-SE"/>
        </w:rPr>
        <w:t xml:space="preserve"> lapangan kerja pedesaan untuk memberikan sumber pendapatan yang layak bagi petani sekitar ”Waduk Pacal” untuk meningkatkan ketahanan pangan rumahtangga mereka.</w:t>
      </w:r>
      <w:r w:rsidR="00A41BC0">
        <w:rPr>
          <w:rFonts w:ascii="Arial" w:hAnsi="Arial" w:cs="Arial"/>
          <w:lang w:val="sv-SE"/>
        </w:rPr>
        <w:t xml:space="preserve"> Penelitian mendatang perlu memperdetil angka kecukupan gizi pada keluarga petani dengan lebih merinci kategori usia anggota keluarga.</w:t>
      </w:r>
    </w:p>
    <w:p w:rsidR="004A65AB" w:rsidRPr="00452E6A" w:rsidRDefault="004A65AB" w:rsidP="00BC6114">
      <w:pPr>
        <w:spacing w:after="0" w:line="240" w:lineRule="auto"/>
        <w:jc w:val="both"/>
        <w:rPr>
          <w:rFonts w:ascii="Arial" w:hAnsi="Arial" w:cs="Arial"/>
          <w:color w:val="000000"/>
          <w:lang w:val="en-US"/>
        </w:rPr>
      </w:pPr>
    </w:p>
    <w:p w:rsidR="0027611A" w:rsidRDefault="0027611A" w:rsidP="00A03034">
      <w:pPr>
        <w:spacing w:after="120" w:line="240" w:lineRule="auto"/>
        <w:jc w:val="both"/>
        <w:rPr>
          <w:rFonts w:ascii="Arial" w:hAnsi="Arial" w:cs="Arial"/>
          <w:b/>
          <w:color w:val="000000"/>
          <w:lang w:val="en-US"/>
        </w:rPr>
      </w:pPr>
      <w:r>
        <w:rPr>
          <w:rFonts w:ascii="Arial" w:hAnsi="Arial" w:cs="Arial"/>
          <w:b/>
          <w:color w:val="000000"/>
        </w:rPr>
        <w:t>DAFTAR PUSTAKA</w:t>
      </w:r>
    </w:p>
    <w:p w:rsidR="0044044C" w:rsidRPr="0044044C" w:rsidRDefault="00B94BBB" w:rsidP="00563D65">
      <w:pPr>
        <w:widowControl w:val="0"/>
        <w:autoSpaceDE w:val="0"/>
        <w:autoSpaceDN w:val="0"/>
        <w:adjustRightInd w:val="0"/>
        <w:spacing w:line="240" w:lineRule="auto"/>
        <w:ind w:left="709" w:hanging="709"/>
        <w:rPr>
          <w:rFonts w:ascii="Arial" w:hAnsi="Arial" w:cs="Arial"/>
          <w:noProof/>
          <w:szCs w:val="24"/>
        </w:rPr>
      </w:pPr>
      <w:r>
        <w:rPr>
          <w:rFonts w:ascii="Arial" w:hAnsi="Arial" w:cs="Arial"/>
          <w:color w:val="231F20"/>
          <w:lang w:val="en-US"/>
        </w:rPr>
        <w:fldChar w:fldCharType="begin" w:fldLock="1"/>
      </w:r>
      <w:r w:rsidR="0055048E">
        <w:rPr>
          <w:rFonts w:ascii="Arial" w:hAnsi="Arial" w:cs="Arial"/>
          <w:color w:val="231F20"/>
          <w:lang w:val="en-US"/>
        </w:rPr>
        <w:instrText xml:space="preserve">ADDIN Mendeley Bibliography CSL_BIBLIOGRAPHY </w:instrText>
      </w:r>
      <w:r>
        <w:rPr>
          <w:rFonts w:ascii="Arial" w:hAnsi="Arial" w:cs="Arial"/>
          <w:color w:val="231F20"/>
          <w:lang w:val="en-US"/>
        </w:rPr>
        <w:fldChar w:fldCharType="separate"/>
      </w:r>
      <w:r w:rsidR="0044044C" w:rsidRPr="0044044C">
        <w:rPr>
          <w:rFonts w:ascii="Arial" w:hAnsi="Arial" w:cs="Arial"/>
          <w:noProof/>
          <w:szCs w:val="24"/>
        </w:rPr>
        <w:t xml:space="preserve">Ali, A., &amp; Erenstein, O. (2017). Assessing farmer use of climate change adaptation practices and impacts on food security and poverty in Pakistan. </w:t>
      </w:r>
      <w:r w:rsidR="0044044C" w:rsidRPr="0044044C">
        <w:rPr>
          <w:rFonts w:ascii="Arial" w:hAnsi="Arial" w:cs="Arial"/>
          <w:i/>
          <w:iCs/>
          <w:noProof/>
          <w:szCs w:val="24"/>
        </w:rPr>
        <w:t>Climate Risk Management</w:t>
      </w:r>
      <w:r w:rsidR="0044044C" w:rsidRPr="0044044C">
        <w:rPr>
          <w:rFonts w:ascii="Arial" w:hAnsi="Arial" w:cs="Arial"/>
          <w:noProof/>
          <w:szCs w:val="24"/>
        </w:rPr>
        <w:t xml:space="preserve">, </w:t>
      </w:r>
      <w:r w:rsidR="0044044C" w:rsidRPr="0044044C">
        <w:rPr>
          <w:rFonts w:ascii="Arial" w:hAnsi="Arial" w:cs="Arial"/>
          <w:i/>
          <w:iCs/>
          <w:noProof/>
          <w:szCs w:val="24"/>
        </w:rPr>
        <w:t>16</w:t>
      </w:r>
      <w:r w:rsidR="0044044C" w:rsidRPr="0044044C">
        <w:rPr>
          <w:rFonts w:ascii="Arial" w:hAnsi="Arial" w:cs="Arial"/>
          <w:noProof/>
          <w:szCs w:val="24"/>
        </w:rPr>
        <w:t>, 183–194. http://doi.org/10.1016/j.crm.2016.12.001</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Anwarudin, O., Sumardjo, S., Satria, A., &amp; Fatchiya, A. (2020). Process and Approach to Farmer Regeneration Through Multi-strategy in Indonesia. </w:t>
      </w:r>
      <w:r w:rsidRPr="0044044C">
        <w:rPr>
          <w:rFonts w:ascii="Arial" w:hAnsi="Arial" w:cs="Arial"/>
          <w:i/>
          <w:iCs/>
          <w:noProof/>
          <w:szCs w:val="24"/>
        </w:rPr>
        <w:t>Jurnal Penelitian Dan Pengembangan Pertanian</w:t>
      </w:r>
      <w:r w:rsidRPr="0044044C">
        <w:rPr>
          <w:rFonts w:ascii="Arial" w:hAnsi="Arial" w:cs="Arial"/>
          <w:noProof/>
          <w:szCs w:val="24"/>
        </w:rPr>
        <w:t xml:space="preserve">, </w:t>
      </w:r>
      <w:r w:rsidRPr="0044044C">
        <w:rPr>
          <w:rFonts w:ascii="Arial" w:hAnsi="Arial" w:cs="Arial"/>
          <w:i/>
          <w:iCs/>
          <w:noProof/>
          <w:szCs w:val="24"/>
        </w:rPr>
        <w:t>39</w:t>
      </w:r>
      <w:r w:rsidRPr="0044044C">
        <w:rPr>
          <w:rFonts w:ascii="Arial" w:hAnsi="Arial" w:cs="Arial"/>
          <w:noProof/>
          <w:szCs w:val="24"/>
        </w:rPr>
        <w:t>(2), 73–85. http://doi.org/10.21082/jp3.v39n2.2020.p73-85</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Argandi, S., Trimo, L., &amp; Noor, T. I. (2018). Faktor–Faktor Yang Mempengaruhi Pola Pangan Harapan (PPH) Di Kabupaten Bandung. </w:t>
      </w:r>
      <w:r w:rsidRPr="0044044C">
        <w:rPr>
          <w:rFonts w:ascii="Arial" w:hAnsi="Arial" w:cs="Arial"/>
          <w:i/>
          <w:iCs/>
          <w:noProof/>
          <w:szCs w:val="24"/>
        </w:rPr>
        <w:t xml:space="preserve">Jurnal Agribisnis </w:t>
      </w:r>
      <w:r w:rsidRPr="0044044C">
        <w:rPr>
          <w:rFonts w:ascii="Arial" w:hAnsi="Arial" w:cs="Arial"/>
          <w:i/>
          <w:iCs/>
          <w:noProof/>
          <w:szCs w:val="24"/>
        </w:rPr>
        <w:lastRenderedPageBreak/>
        <w:t>Terpadu</w:t>
      </w:r>
      <w:r w:rsidRPr="0044044C">
        <w:rPr>
          <w:rFonts w:ascii="Arial" w:hAnsi="Arial" w:cs="Arial"/>
          <w:noProof/>
          <w:szCs w:val="24"/>
        </w:rPr>
        <w:t xml:space="preserve">, </w:t>
      </w:r>
      <w:r w:rsidRPr="0044044C">
        <w:rPr>
          <w:rFonts w:ascii="Arial" w:hAnsi="Arial" w:cs="Arial"/>
          <w:i/>
          <w:iCs/>
          <w:noProof/>
          <w:szCs w:val="24"/>
        </w:rPr>
        <w:t>11</w:t>
      </w:r>
      <w:r w:rsidRPr="0044044C">
        <w:rPr>
          <w:rFonts w:ascii="Arial" w:hAnsi="Arial" w:cs="Arial"/>
          <w:noProof/>
          <w:szCs w:val="24"/>
        </w:rPr>
        <w:t>(2), 126. http://doi.org/10.33512/jat.v11i2.5091</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Badan-Ketahanan-Pangan. (2015). </w:t>
      </w:r>
      <w:r w:rsidRPr="0044044C">
        <w:rPr>
          <w:rFonts w:ascii="Arial" w:hAnsi="Arial" w:cs="Arial"/>
          <w:i/>
          <w:iCs/>
          <w:noProof/>
          <w:szCs w:val="24"/>
        </w:rPr>
        <w:t>Panduan Penghitungan Pola Pangan Harapan (PPH)</w:t>
      </w:r>
      <w:r w:rsidRPr="0044044C">
        <w:rPr>
          <w:rFonts w:ascii="Arial" w:hAnsi="Arial" w:cs="Arial"/>
          <w:noProof/>
          <w:szCs w:val="24"/>
        </w:rPr>
        <w:t>. Jakarta: Badan Ketahanan Pangan Kementerian Pertanian. Retrieved from http://bkp.pertanian.go.id/storage/app/media/Evalap/BUKU PEDOMAN PENYUS</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Badan-Pusat-Statistik. (2018). </w:t>
      </w:r>
      <w:r w:rsidRPr="0044044C">
        <w:rPr>
          <w:rFonts w:ascii="Arial" w:hAnsi="Arial" w:cs="Arial"/>
          <w:i/>
          <w:iCs/>
          <w:noProof/>
          <w:szCs w:val="24"/>
        </w:rPr>
        <w:t>Hasil Survei Pertanian Antar Sensus (SUTAS) 2018 The Result of Inter-Cencus Agricultural Survey</w:t>
      </w:r>
      <w:r w:rsidRPr="0044044C">
        <w:rPr>
          <w:rFonts w:ascii="Arial" w:hAnsi="Arial" w:cs="Arial"/>
          <w:noProof/>
          <w:szCs w:val="24"/>
        </w:rPr>
        <w:t>. © Badan Pusat Statistik / BPS-Statistics Indonesia Pencetak / Printed by : Badan Pusat Statistik / BPS-Statistics Indonesia Sumber Ilustrasi / Graphics by : freepik.com, flaticon.com, vecteezy.com, s.bps.go.id/LinkCoverSUTAS-A1, s.bps.go.id/LinkCoverSUTAS.</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Boonsaeng, T., &amp; Carpio, C. E. (2019). Budget Allocation Patterns of U.S. Households across Income Levels in the 21st Century. </w:t>
      </w:r>
      <w:r w:rsidRPr="0044044C">
        <w:rPr>
          <w:rFonts w:ascii="Arial" w:hAnsi="Arial" w:cs="Arial"/>
          <w:i/>
          <w:iCs/>
          <w:noProof/>
          <w:szCs w:val="24"/>
        </w:rPr>
        <w:t>Journal of Consumer Affairs</w:t>
      </w:r>
      <w:r w:rsidRPr="0044044C">
        <w:rPr>
          <w:rFonts w:ascii="Arial" w:hAnsi="Arial" w:cs="Arial"/>
          <w:noProof/>
          <w:szCs w:val="24"/>
        </w:rPr>
        <w:t xml:space="preserve">, </w:t>
      </w:r>
      <w:r w:rsidRPr="0044044C">
        <w:rPr>
          <w:rFonts w:ascii="Arial" w:hAnsi="Arial" w:cs="Arial"/>
          <w:i/>
          <w:iCs/>
          <w:noProof/>
          <w:szCs w:val="24"/>
        </w:rPr>
        <w:t>54</w:t>
      </w:r>
      <w:r w:rsidRPr="0044044C">
        <w:rPr>
          <w:rFonts w:ascii="Arial" w:hAnsi="Arial" w:cs="Arial"/>
          <w:noProof/>
          <w:szCs w:val="24"/>
        </w:rPr>
        <w:t>(1), 342–387. http://doi.org/10.1111/joca.12273</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Diehl, J. A., Oviatt, K., Chandra, A. J., &amp; Kaur, H. (2019). Household food consumption patterns and food security among low-income migrant urban farmers in Delhi, Jakarta, and Quito. </w:t>
      </w:r>
      <w:r w:rsidRPr="0044044C">
        <w:rPr>
          <w:rFonts w:ascii="Arial" w:hAnsi="Arial" w:cs="Arial"/>
          <w:i/>
          <w:iCs/>
          <w:noProof/>
          <w:szCs w:val="24"/>
        </w:rPr>
        <w:t>Sustainability (Switzerland)</w:t>
      </w:r>
      <w:r w:rsidRPr="0044044C">
        <w:rPr>
          <w:rFonts w:ascii="Arial" w:hAnsi="Arial" w:cs="Arial"/>
          <w:noProof/>
          <w:szCs w:val="24"/>
        </w:rPr>
        <w:t xml:space="preserve">, </w:t>
      </w:r>
      <w:r w:rsidRPr="0044044C">
        <w:rPr>
          <w:rFonts w:ascii="Arial" w:hAnsi="Arial" w:cs="Arial"/>
          <w:i/>
          <w:iCs/>
          <w:noProof/>
          <w:szCs w:val="24"/>
        </w:rPr>
        <w:t>11</w:t>
      </w:r>
      <w:r w:rsidRPr="0044044C">
        <w:rPr>
          <w:rFonts w:ascii="Arial" w:hAnsi="Arial" w:cs="Arial"/>
          <w:noProof/>
          <w:szCs w:val="24"/>
        </w:rPr>
        <w:t>(5), 1–18. http://doi.org/10.3390/su11051378</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Fafard St-Germain, A. A., &amp; Tarasuk, V. (2018). Prioritization of the essentials in the spending patterns of canadian households experiencing food insecurity. </w:t>
      </w:r>
      <w:r w:rsidRPr="0044044C">
        <w:rPr>
          <w:rFonts w:ascii="Arial" w:hAnsi="Arial" w:cs="Arial"/>
          <w:i/>
          <w:iCs/>
          <w:noProof/>
          <w:szCs w:val="24"/>
        </w:rPr>
        <w:t>Victorian Literature and Culture</w:t>
      </w:r>
      <w:r w:rsidRPr="0044044C">
        <w:rPr>
          <w:rFonts w:ascii="Arial" w:hAnsi="Arial" w:cs="Arial"/>
          <w:noProof/>
          <w:szCs w:val="24"/>
        </w:rPr>
        <w:t xml:space="preserve">, </w:t>
      </w:r>
      <w:r w:rsidRPr="0044044C">
        <w:rPr>
          <w:rFonts w:ascii="Arial" w:hAnsi="Arial" w:cs="Arial"/>
          <w:i/>
          <w:iCs/>
          <w:noProof/>
          <w:szCs w:val="24"/>
        </w:rPr>
        <w:t>21</w:t>
      </w:r>
      <w:r w:rsidRPr="0044044C">
        <w:rPr>
          <w:rFonts w:ascii="Arial" w:hAnsi="Arial" w:cs="Arial"/>
          <w:noProof/>
          <w:szCs w:val="24"/>
        </w:rPr>
        <w:t>(11), 2065–2078. http://doi.org/10.1017/S1368980018000472</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Gebreyes, M. (2018). “Producing” institutions of climate change adaptation and food security in north eastern Ethiopia. </w:t>
      </w:r>
      <w:r w:rsidRPr="0044044C">
        <w:rPr>
          <w:rFonts w:ascii="Arial" w:hAnsi="Arial" w:cs="Arial"/>
          <w:i/>
          <w:iCs/>
          <w:noProof/>
          <w:szCs w:val="24"/>
        </w:rPr>
        <w:t>NJAS - Wageningen Journal of Life Sciences</w:t>
      </w:r>
      <w:r w:rsidRPr="0044044C">
        <w:rPr>
          <w:rFonts w:ascii="Arial" w:hAnsi="Arial" w:cs="Arial"/>
          <w:noProof/>
          <w:szCs w:val="24"/>
        </w:rPr>
        <w:t xml:space="preserve">, </w:t>
      </w:r>
      <w:r w:rsidRPr="0044044C">
        <w:rPr>
          <w:rFonts w:ascii="Arial" w:hAnsi="Arial" w:cs="Arial"/>
          <w:i/>
          <w:iCs/>
          <w:noProof/>
          <w:szCs w:val="24"/>
        </w:rPr>
        <w:t>84</w:t>
      </w:r>
      <w:r w:rsidRPr="0044044C">
        <w:rPr>
          <w:rFonts w:ascii="Arial" w:hAnsi="Arial" w:cs="Arial"/>
          <w:noProof/>
          <w:szCs w:val="24"/>
        </w:rPr>
        <w:t>(November 2016), 123–132. http://doi.org/10.1016/j.njas.2017.10.007</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Hafizah, D., Hakim, D. B., Harianto, H., &amp; Nurmalina, R. (2020). The Role of Rice’s Price in the Household Consumption in Indonesia. </w:t>
      </w:r>
      <w:r w:rsidRPr="0044044C">
        <w:rPr>
          <w:rFonts w:ascii="Arial" w:hAnsi="Arial" w:cs="Arial"/>
          <w:i/>
          <w:iCs/>
          <w:noProof/>
          <w:szCs w:val="24"/>
        </w:rPr>
        <w:t>Agriekonomika</w:t>
      </w:r>
      <w:r w:rsidRPr="0044044C">
        <w:rPr>
          <w:rFonts w:ascii="Arial" w:hAnsi="Arial" w:cs="Arial"/>
          <w:noProof/>
          <w:szCs w:val="24"/>
        </w:rPr>
        <w:t xml:space="preserve">, </w:t>
      </w:r>
      <w:r w:rsidRPr="0044044C">
        <w:rPr>
          <w:rFonts w:ascii="Arial" w:hAnsi="Arial" w:cs="Arial"/>
          <w:i/>
          <w:iCs/>
          <w:noProof/>
          <w:szCs w:val="24"/>
        </w:rPr>
        <w:t>9</w:t>
      </w:r>
      <w:r w:rsidRPr="0044044C">
        <w:rPr>
          <w:rFonts w:ascii="Arial" w:hAnsi="Arial" w:cs="Arial"/>
          <w:noProof/>
          <w:szCs w:val="24"/>
        </w:rPr>
        <w:t>(1), 38–47. http://doi.org/10.21107/agriekonomika.v9i1.6962</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Huang, J., &amp; Yang, G. (2017). Understanding Recent Challenges and New Food Policy in China. </w:t>
      </w:r>
      <w:r w:rsidRPr="0044044C">
        <w:rPr>
          <w:rFonts w:ascii="Arial" w:hAnsi="Arial" w:cs="Arial"/>
          <w:i/>
          <w:iCs/>
          <w:noProof/>
          <w:szCs w:val="24"/>
        </w:rPr>
        <w:t>Global Food Security</w:t>
      </w:r>
      <w:r w:rsidRPr="0044044C">
        <w:rPr>
          <w:rFonts w:ascii="Arial" w:hAnsi="Arial" w:cs="Arial"/>
          <w:noProof/>
          <w:szCs w:val="24"/>
        </w:rPr>
        <w:t xml:space="preserve">, </w:t>
      </w:r>
      <w:r w:rsidRPr="0044044C">
        <w:rPr>
          <w:rFonts w:ascii="Arial" w:hAnsi="Arial" w:cs="Arial"/>
          <w:i/>
          <w:iCs/>
          <w:noProof/>
          <w:szCs w:val="24"/>
        </w:rPr>
        <w:t>12</w:t>
      </w:r>
      <w:r w:rsidRPr="0044044C">
        <w:rPr>
          <w:rFonts w:ascii="Arial" w:hAnsi="Arial" w:cs="Arial"/>
          <w:noProof/>
          <w:szCs w:val="24"/>
        </w:rPr>
        <w:t>, 119–126. http://doi.org/10.1016/j.gfs.2016.10.002</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Islam, M. J., Sayeed, M. A., &amp; Akhtar, S. (2018). Consumers profile analysis towards chicken, beef, mutton, fish and egg consumption in Bangladesh. </w:t>
      </w:r>
      <w:r w:rsidRPr="0044044C">
        <w:rPr>
          <w:rFonts w:ascii="Arial" w:hAnsi="Arial" w:cs="Arial"/>
          <w:i/>
          <w:iCs/>
          <w:noProof/>
          <w:szCs w:val="24"/>
        </w:rPr>
        <w:t>British Food Journal</w:t>
      </w:r>
      <w:r w:rsidRPr="0044044C">
        <w:rPr>
          <w:rFonts w:ascii="Arial" w:hAnsi="Arial" w:cs="Arial"/>
          <w:noProof/>
          <w:szCs w:val="24"/>
        </w:rPr>
        <w:t xml:space="preserve">, </w:t>
      </w:r>
      <w:r w:rsidRPr="0044044C">
        <w:rPr>
          <w:rFonts w:ascii="Arial" w:hAnsi="Arial" w:cs="Arial"/>
          <w:i/>
          <w:iCs/>
          <w:noProof/>
          <w:szCs w:val="24"/>
        </w:rPr>
        <w:t>130</w:t>
      </w:r>
      <w:r w:rsidRPr="0044044C">
        <w:rPr>
          <w:rFonts w:ascii="Arial" w:hAnsi="Arial" w:cs="Arial"/>
          <w:noProof/>
          <w:szCs w:val="24"/>
        </w:rPr>
        <w:t>(12), 2818–2831.</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Mango, N., Makate, C., Mapemba, L., &amp; Sopo, M. (2018). The role of crop diversification in improving household food security in central Malawi. </w:t>
      </w:r>
      <w:r w:rsidRPr="0044044C">
        <w:rPr>
          <w:rFonts w:ascii="Arial" w:hAnsi="Arial" w:cs="Arial"/>
          <w:i/>
          <w:iCs/>
          <w:noProof/>
          <w:szCs w:val="24"/>
        </w:rPr>
        <w:t>Agriculture and Food Security</w:t>
      </w:r>
      <w:r w:rsidRPr="0044044C">
        <w:rPr>
          <w:rFonts w:ascii="Arial" w:hAnsi="Arial" w:cs="Arial"/>
          <w:noProof/>
          <w:szCs w:val="24"/>
        </w:rPr>
        <w:t xml:space="preserve">, </w:t>
      </w:r>
      <w:r w:rsidRPr="0044044C">
        <w:rPr>
          <w:rFonts w:ascii="Arial" w:hAnsi="Arial" w:cs="Arial"/>
          <w:i/>
          <w:iCs/>
          <w:noProof/>
          <w:szCs w:val="24"/>
        </w:rPr>
        <w:t>7</w:t>
      </w:r>
      <w:r w:rsidRPr="0044044C">
        <w:rPr>
          <w:rFonts w:ascii="Arial" w:hAnsi="Arial" w:cs="Arial"/>
          <w:noProof/>
          <w:szCs w:val="24"/>
        </w:rPr>
        <w:t>(1), 1–10. http://doi.org/10.1186/s40066-018-0160-x</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Moeis, F. R., Dartanto, T., Moeis, J. P., &amp; Ikhsan, M. (2020). A longitudinal study of agriculture households in Indonesia: The effect of land and labor </w:t>
      </w:r>
      <w:r w:rsidRPr="0044044C">
        <w:rPr>
          <w:rFonts w:ascii="Arial" w:hAnsi="Arial" w:cs="Arial"/>
          <w:noProof/>
          <w:szCs w:val="24"/>
        </w:rPr>
        <w:lastRenderedPageBreak/>
        <w:t xml:space="preserve">mobility on welfare and poverty dynamics. </w:t>
      </w:r>
      <w:r w:rsidRPr="0044044C">
        <w:rPr>
          <w:rFonts w:ascii="Arial" w:hAnsi="Arial" w:cs="Arial"/>
          <w:i/>
          <w:iCs/>
          <w:noProof/>
          <w:szCs w:val="24"/>
        </w:rPr>
        <w:t>World Development Perspectives</w:t>
      </w:r>
      <w:r w:rsidRPr="0044044C">
        <w:rPr>
          <w:rFonts w:ascii="Arial" w:hAnsi="Arial" w:cs="Arial"/>
          <w:noProof/>
          <w:szCs w:val="24"/>
        </w:rPr>
        <w:t xml:space="preserve">, </w:t>
      </w:r>
      <w:r w:rsidRPr="0044044C">
        <w:rPr>
          <w:rFonts w:ascii="Arial" w:hAnsi="Arial" w:cs="Arial"/>
          <w:i/>
          <w:iCs/>
          <w:noProof/>
          <w:szCs w:val="24"/>
        </w:rPr>
        <w:t>20</w:t>
      </w:r>
      <w:r w:rsidRPr="0044044C">
        <w:rPr>
          <w:rFonts w:ascii="Arial" w:hAnsi="Arial" w:cs="Arial"/>
          <w:noProof/>
          <w:szCs w:val="24"/>
        </w:rPr>
        <w:t>(August), 100261. http://doi.org/10.1016/j.wdp.2020.100261</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Nasrulloh, R. I., &amp; Suparwoto. (2014). Pembangunan Dan Pengaruh Waduk Pacal Terhadap Pertanian Masyarakat Kabupaten Bojonegoro Tahun 1927-2000. </w:t>
      </w:r>
      <w:r w:rsidRPr="0044044C">
        <w:rPr>
          <w:rFonts w:ascii="Arial" w:hAnsi="Arial" w:cs="Arial"/>
          <w:i/>
          <w:iCs/>
          <w:noProof/>
          <w:szCs w:val="24"/>
        </w:rPr>
        <w:t>AVATARA, E-Journal Pendidikan Sejarah</w:t>
      </w:r>
      <w:r w:rsidRPr="0044044C">
        <w:rPr>
          <w:rFonts w:ascii="Arial" w:hAnsi="Arial" w:cs="Arial"/>
          <w:noProof/>
          <w:szCs w:val="24"/>
        </w:rPr>
        <w:t xml:space="preserve">, </w:t>
      </w:r>
      <w:r w:rsidRPr="0044044C">
        <w:rPr>
          <w:rFonts w:ascii="Arial" w:hAnsi="Arial" w:cs="Arial"/>
          <w:i/>
          <w:iCs/>
          <w:noProof/>
          <w:szCs w:val="24"/>
        </w:rPr>
        <w:t>2</w:t>
      </w:r>
      <w:r w:rsidRPr="0044044C">
        <w:rPr>
          <w:rFonts w:ascii="Arial" w:hAnsi="Arial" w:cs="Arial"/>
          <w:noProof/>
          <w:szCs w:val="24"/>
        </w:rPr>
        <w:t>(3), 90–103.</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Nkomoki, W., Bavorová, M., &amp; Banout, J. (2019). Factors associated with household food security in Zambia. </w:t>
      </w:r>
      <w:r w:rsidRPr="0044044C">
        <w:rPr>
          <w:rFonts w:ascii="Arial" w:hAnsi="Arial" w:cs="Arial"/>
          <w:i/>
          <w:iCs/>
          <w:noProof/>
          <w:szCs w:val="24"/>
        </w:rPr>
        <w:t>Sustainability (Switzerland)</w:t>
      </w:r>
      <w:r w:rsidRPr="0044044C">
        <w:rPr>
          <w:rFonts w:ascii="Arial" w:hAnsi="Arial" w:cs="Arial"/>
          <w:noProof/>
          <w:szCs w:val="24"/>
        </w:rPr>
        <w:t xml:space="preserve">, </w:t>
      </w:r>
      <w:r w:rsidRPr="0044044C">
        <w:rPr>
          <w:rFonts w:ascii="Arial" w:hAnsi="Arial" w:cs="Arial"/>
          <w:i/>
          <w:iCs/>
          <w:noProof/>
          <w:szCs w:val="24"/>
        </w:rPr>
        <w:t>11</w:t>
      </w:r>
      <w:r w:rsidRPr="0044044C">
        <w:rPr>
          <w:rFonts w:ascii="Arial" w:hAnsi="Arial" w:cs="Arial"/>
          <w:noProof/>
          <w:szCs w:val="24"/>
        </w:rPr>
        <w:t>(9), 1–18. http://doi.org/10.3390/su11092715</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Olounlade, O. A., Li, G. C., Kokoye, S. E. H., Dossouhoui, F. V., Akpa, K. A. A., Anshiso, D., &amp; Biaou, G. (2020). Impact of participation in contract farming on smallholder farmers’ income and food security in rural Benin: PSM and LATE parameter combined. </w:t>
      </w:r>
      <w:r w:rsidRPr="0044044C">
        <w:rPr>
          <w:rFonts w:ascii="Arial" w:hAnsi="Arial" w:cs="Arial"/>
          <w:i/>
          <w:iCs/>
          <w:noProof/>
          <w:szCs w:val="24"/>
        </w:rPr>
        <w:t>Sustainability (Switzerland)</w:t>
      </w:r>
      <w:r w:rsidRPr="0044044C">
        <w:rPr>
          <w:rFonts w:ascii="Arial" w:hAnsi="Arial" w:cs="Arial"/>
          <w:noProof/>
          <w:szCs w:val="24"/>
        </w:rPr>
        <w:t xml:space="preserve">, </w:t>
      </w:r>
      <w:r w:rsidRPr="0044044C">
        <w:rPr>
          <w:rFonts w:ascii="Arial" w:hAnsi="Arial" w:cs="Arial"/>
          <w:i/>
          <w:iCs/>
          <w:noProof/>
          <w:szCs w:val="24"/>
        </w:rPr>
        <w:t>12</w:t>
      </w:r>
      <w:r w:rsidRPr="0044044C">
        <w:rPr>
          <w:rFonts w:ascii="Arial" w:hAnsi="Arial" w:cs="Arial"/>
          <w:noProof/>
          <w:szCs w:val="24"/>
        </w:rPr>
        <w:t>(3), 1–19. http://doi.org/10.3390/su12030901</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Phiboon, K., Cochetel, C., &amp; Faysse, N. (2019). Support programmes and the diversity of young farmers in Thailand: A good match? </w:t>
      </w:r>
      <w:r w:rsidRPr="0044044C">
        <w:rPr>
          <w:rFonts w:ascii="Arial" w:hAnsi="Arial" w:cs="Arial"/>
          <w:i/>
          <w:iCs/>
          <w:noProof/>
          <w:szCs w:val="24"/>
        </w:rPr>
        <w:t>Outlook on Agriculture</w:t>
      </w:r>
      <w:r w:rsidRPr="0044044C">
        <w:rPr>
          <w:rFonts w:ascii="Arial" w:hAnsi="Arial" w:cs="Arial"/>
          <w:noProof/>
          <w:szCs w:val="24"/>
        </w:rPr>
        <w:t xml:space="preserve">, </w:t>
      </w:r>
      <w:r w:rsidRPr="0044044C">
        <w:rPr>
          <w:rFonts w:ascii="Arial" w:hAnsi="Arial" w:cs="Arial"/>
          <w:i/>
          <w:iCs/>
          <w:noProof/>
          <w:szCs w:val="24"/>
        </w:rPr>
        <w:t>48</w:t>
      </w:r>
      <w:r w:rsidRPr="0044044C">
        <w:rPr>
          <w:rFonts w:ascii="Arial" w:hAnsi="Arial" w:cs="Arial"/>
          <w:noProof/>
          <w:szCs w:val="24"/>
        </w:rPr>
        <w:t>(4), 300–308. http://doi.org/10.1177/0030727019880559</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Prasetyo, T. J., Hardinsyah, H., &amp; Sinaga, T. (2014). Konsumsi Pangan Dan Gizi Serta Skor Pola Pangan Harapan (Pph) Pada Anak Usia 2—6 Tahun Di Indonesia. </w:t>
      </w:r>
      <w:r w:rsidRPr="0044044C">
        <w:rPr>
          <w:rFonts w:ascii="Arial" w:hAnsi="Arial" w:cs="Arial"/>
          <w:i/>
          <w:iCs/>
          <w:noProof/>
          <w:szCs w:val="24"/>
        </w:rPr>
        <w:t>Jurnal Gizi Dan Pangan</w:t>
      </w:r>
      <w:r w:rsidRPr="0044044C">
        <w:rPr>
          <w:rFonts w:ascii="Arial" w:hAnsi="Arial" w:cs="Arial"/>
          <w:noProof/>
          <w:szCs w:val="24"/>
        </w:rPr>
        <w:t xml:space="preserve">, </w:t>
      </w:r>
      <w:r w:rsidRPr="0044044C">
        <w:rPr>
          <w:rFonts w:ascii="Arial" w:hAnsi="Arial" w:cs="Arial"/>
          <w:i/>
          <w:iCs/>
          <w:noProof/>
          <w:szCs w:val="24"/>
        </w:rPr>
        <w:t>8</w:t>
      </w:r>
      <w:r w:rsidRPr="0044044C">
        <w:rPr>
          <w:rFonts w:ascii="Arial" w:hAnsi="Arial" w:cs="Arial"/>
          <w:noProof/>
          <w:szCs w:val="24"/>
        </w:rPr>
        <w:t>(3), 159. http://doi.org/10.25182/jgp.2013.8.3.159-166</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Preissel, S., Zander, P., &amp; Knierim, A. (2017). Sustaining Farming on Marginal Land: Farmers’ Convictions, Motivations and Strategies in Northeastern Germany. </w:t>
      </w:r>
      <w:r w:rsidRPr="0044044C">
        <w:rPr>
          <w:rFonts w:ascii="Arial" w:hAnsi="Arial" w:cs="Arial"/>
          <w:i/>
          <w:iCs/>
          <w:noProof/>
          <w:szCs w:val="24"/>
        </w:rPr>
        <w:t>Sociologia Ruralis</w:t>
      </w:r>
      <w:r w:rsidRPr="0044044C">
        <w:rPr>
          <w:rFonts w:ascii="Arial" w:hAnsi="Arial" w:cs="Arial"/>
          <w:noProof/>
          <w:szCs w:val="24"/>
        </w:rPr>
        <w:t xml:space="preserve">, </w:t>
      </w:r>
      <w:r w:rsidRPr="0044044C">
        <w:rPr>
          <w:rFonts w:ascii="Arial" w:hAnsi="Arial" w:cs="Arial"/>
          <w:i/>
          <w:iCs/>
          <w:noProof/>
          <w:szCs w:val="24"/>
        </w:rPr>
        <w:t>57</w:t>
      </w:r>
      <w:r w:rsidRPr="0044044C">
        <w:rPr>
          <w:rFonts w:ascii="Arial" w:hAnsi="Arial" w:cs="Arial"/>
          <w:noProof/>
          <w:szCs w:val="24"/>
        </w:rPr>
        <w:t>(November), 682–708. http://doi.org/10.1111/soru.12168</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Putra, A. S., Tong, G., &amp; Pribadi, D. O. (2020). Food security challenges in rapidly urbanizing developing countries: Insight from Indonesia. </w:t>
      </w:r>
      <w:r w:rsidRPr="0044044C">
        <w:rPr>
          <w:rFonts w:ascii="Arial" w:hAnsi="Arial" w:cs="Arial"/>
          <w:i/>
          <w:iCs/>
          <w:noProof/>
          <w:szCs w:val="24"/>
        </w:rPr>
        <w:t>Sustainability (Switzerland)</w:t>
      </w:r>
      <w:r w:rsidRPr="0044044C">
        <w:rPr>
          <w:rFonts w:ascii="Arial" w:hAnsi="Arial" w:cs="Arial"/>
          <w:noProof/>
          <w:szCs w:val="24"/>
        </w:rPr>
        <w:t xml:space="preserve">, </w:t>
      </w:r>
      <w:r w:rsidRPr="0044044C">
        <w:rPr>
          <w:rFonts w:ascii="Arial" w:hAnsi="Arial" w:cs="Arial"/>
          <w:i/>
          <w:iCs/>
          <w:noProof/>
          <w:szCs w:val="24"/>
        </w:rPr>
        <w:t>12</w:t>
      </w:r>
      <w:r w:rsidRPr="0044044C">
        <w:rPr>
          <w:rFonts w:ascii="Arial" w:hAnsi="Arial" w:cs="Arial"/>
          <w:noProof/>
          <w:szCs w:val="24"/>
        </w:rPr>
        <w:t>(22), 1–18. http://doi.org/10.3390/su12229550</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Rasyid, M., Kristina, A., Sutikno, Sunaryati, &amp; Yuliani, T. (2020). Poverty Conditions and Patterns of Consumption: An Engel Function Analysis in East Java and Bali Indonesia. </w:t>
      </w:r>
      <w:r w:rsidRPr="0044044C">
        <w:rPr>
          <w:rFonts w:ascii="Arial" w:hAnsi="Arial" w:cs="Arial"/>
          <w:i/>
          <w:iCs/>
          <w:noProof/>
          <w:szCs w:val="24"/>
        </w:rPr>
        <w:t>Asian Economic and Financial Review</w:t>
      </w:r>
      <w:r w:rsidRPr="0044044C">
        <w:rPr>
          <w:rFonts w:ascii="Arial" w:hAnsi="Arial" w:cs="Arial"/>
          <w:noProof/>
          <w:szCs w:val="24"/>
        </w:rPr>
        <w:t xml:space="preserve">, </w:t>
      </w:r>
      <w:r w:rsidRPr="0044044C">
        <w:rPr>
          <w:rFonts w:ascii="Arial" w:hAnsi="Arial" w:cs="Arial"/>
          <w:i/>
          <w:iCs/>
          <w:noProof/>
          <w:szCs w:val="24"/>
        </w:rPr>
        <w:t>10</w:t>
      </w:r>
      <w:r w:rsidRPr="0044044C">
        <w:rPr>
          <w:rFonts w:ascii="Arial" w:hAnsi="Arial" w:cs="Arial"/>
          <w:noProof/>
          <w:szCs w:val="24"/>
        </w:rPr>
        <w:t>(10), 1062–1076. http://doi.org/10.18488/journal.aefr.2020.1010.1062.1076</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Riptanti, E. W., Masyhuri, M., Irham, I., &amp; Suryantini, A. (2020). The ability of dryland farmer households in achieving food security in food-insecure area of East Nusa Tenggara, Indonesia. </w:t>
      </w:r>
      <w:r w:rsidRPr="0044044C">
        <w:rPr>
          <w:rFonts w:ascii="Arial" w:hAnsi="Arial" w:cs="Arial"/>
          <w:i/>
          <w:iCs/>
          <w:noProof/>
          <w:szCs w:val="24"/>
        </w:rPr>
        <w:t>AIMS Agriculture and Food</w:t>
      </w:r>
      <w:r w:rsidRPr="0044044C">
        <w:rPr>
          <w:rFonts w:ascii="Arial" w:hAnsi="Arial" w:cs="Arial"/>
          <w:noProof/>
          <w:szCs w:val="24"/>
        </w:rPr>
        <w:t xml:space="preserve">, </w:t>
      </w:r>
      <w:r w:rsidRPr="0044044C">
        <w:rPr>
          <w:rFonts w:ascii="Arial" w:hAnsi="Arial" w:cs="Arial"/>
          <w:i/>
          <w:iCs/>
          <w:noProof/>
          <w:szCs w:val="24"/>
        </w:rPr>
        <w:t>5</w:t>
      </w:r>
      <w:r w:rsidRPr="0044044C">
        <w:rPr>
          <w:rFonts w:ascii="Arial" w:hAnsi="Arial" w:cs="Arial"/>
          <w:noProof/>
          <w:szCs w:val="24"/>
        </w:rPr>
        <w:t>(1), 30–45. http://doi.org/10.3934/agrfood.2020.1.30</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Solimun, S., Fernandes, A. A. R., &amp; Nurjannah, N. (2017). </w:t>
      </w:r>
      <w:r w:rsidRPr="0044044C">
        <w:rPr>
          <w:rFonts w:ascii="Arial" w:hAnsi="Arial" w:cs="Arial"/>
          <w:i/>
          <w:iCs/>
          <w:noProof/>
          <w:szCs w:val="24"/>
        </w:rPr>
        <w:t>Metode Statistika Multivarial Pemodelan Persamaan Struktural (SEM) Pendekatan WarpPLS</w:t>
      </w:r>
      <w:r w:rsidRPr="0044044C">
        <w:rPr>
          <w:rFonts w:ascii="Arial" w:hAnsi="Arial" w:cs="Arial"/>
          <w:noProof/>
          <w:szCs w:val="24"/>
        </w:rPr>
        <w:t>. Malang: UB Press.</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Sudaryanto, T., &amp; Rusastra, I. W. (2006). Kebijakan strategis usaha pertanian </w:t>
      </w:r>
      <w:r w:rsidRPr="0044044C">
        <w:rPr>
          <w:rFonts w:ascii="Arial" w:hAnsi="Arial" w:cs="Arial"/>
          <w:noProof/>
          <w:szCs w:val="24"/>
        </w:rPr>
        <w:lastRenderedPageBreak/>
        <w:t xml:space="preserve">dalam rangka peningkatan produksi dan pengentasan kemiskinan. </w:t>
      </w:r>
      <w:r w:rsidRPr="0044044C">
        <w:rPr>
          <w:rFonts w:ascii="Arial" w:hAnsi="Arial" w:cs="Arial"/>
          <w:i/>
          <w:iCs/>
          <w:noProof/>
          <w:szCs w:val="24"/>
        </w:rPr>
        <w:t>Jurnal Litbang Pertanian</w:t>
      </w:r>
      <w:r w:rsidRPr="0044044C">
        <w:rPr>
          <w:rFonts w:ascii="Arial" w:hAnsi="Arial" w:cs="Arial"/>
          <w:noProof/>
          <w:szCs w:val="24"/>
        </w:rPr>
        <w:t xml:space="preserve">, </w:t>
      </w:r>
      <w:r w:rsidRPr="0044044C">
        <w:rPr>
          <w:rFonts w:ascii="Arial" w:hAnsi="Arial" w:cs="Arial"/>
          <w:i/>
          <w:iCs/>
          <w:noProof/>
          <w:szCs w:val="24"/>
        </w:rPr>
        <w:t>25</w:t>
      </w:r>
      <w:r w:rsidRPr="0044044C">
        <w:rPr>
          <w:rFonts w:ascii="Arial" w:hAnsi="Arial" w:cs="Arial"/>
          <w:noProof/>
          <w:szCs w:val="24"/>
        </w:rPr>
        <w:t>(4), 115–122.</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Sundari, R. S., Kurniasih, E., Heryadi, D. Y., &amp; Arshad, A. (2020). Mengapa Petani menjadi Pekerja Industri Rumahan di Pedesaan? </w:t>
      </w:r>
      <w:r w:rsidRPr="0044044C">
        <w:rPr>
          <w:rFonts w:ascii="Arial" w:hAnsi="Arial" w:cs="Arial"/>
          <w:i/>
          <w:iCs/>
          <w:noProof/>
          <w:szCs w:val="24"/>
        </w:rPr>
        <w:t>Agriekonomika</w:t>
      </w:r>
      <w:r w:rsidRPr="0044044C">
        <w:rPr>
          <w:rFonts w:ascii="Arial" w:hAnsi="Arial" w:cs="Arial"/>
          <w:noProof/>
          <w:szCs w:val="24"/>
        </w:rPr>
        <w:t xml:space="preserve">, </w:t>
      </w:r>
      <w:r w:rsidRPr="0044044C">
        <w:rPr>
          <w:rFonts w:ascii="Arial" w:hAnsi="Arial" w:cs="Arial"/>
          <w:i/>
          <w:iCs/>
          <w:noProof/>
          <w:szCs w:val="24"/>
        </w:rPr>
        <w:t>9</w:t>
      </w:r>
      <w:r w:rsidRPr="0044044C">
        <w:rPr>
          <w:rFonts w:ascii="Arial" w:hAnsi="Arial" w:cs="Arial"/>
          <w:noProof/>
          <w:szCs w:val="24"/>
        </w:rPr>
        <w:t>(1), 61–71. http://doi.org/10.21107/agriekonomika.v9i1.7286</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Susilowati, S. H. (2016). Fenomena Penuaan Petani dan Berkurangnya Tenaga Kerja Muda Serta Implikasinya Bagi Kebijakan Pembangunan Pertanian. </w:t>
      </w:r>
      <w:r w:rsidRPr="0044044C">
        <w:rPr>
          <w:rFonts w:ascii="Arial" w:hAnsi="Arial" w:cs="Arial"/>
          <w:i/>
          <w:iCs/>
          <w:noProof/>
          <w:szCs w:val="24"/>
        </w:rPr>
        <w:t>Forum Penelit. Agroecon.</w:t>
      </w:r>
      <w:r w:rsidRPr="0044044C">
        <w:rPr>
          <w:rFonts w:ascii="Arial" w:hAnsi="Arial" w:cs="Arial"/>
          <w:noProof/>
          <w:szCs w:val="24"/>
        </w:rPr>
        <w:t xml:space="preserve">, </w:t>
      </w:r>
      <w:r w:rsidRPr="0044044C">
        <w:rPr>
          <w:rFonts w:ascii="Arial" w:hAnsi="Arial" w:cs="Arial"/>
          <w:i/>
          <w:iCs/>
          <w:noProof/>
          <w:szCs w:val="24"/>
        </w:rPr>
        <w:t>34</w:t>
      </w:r>
      <w:r w:rsidRPr="0044044C">
        <w:rPr>
          <w:rFonts w:ascii="Arial" w:hAnsi="Arial" w:cs="Arial"/>
          <w:noProof/>
          <w:szCs w:val="24"/>
        </w:rPr>
        <w:t>(1), 35–55. Retrieved from http://repository.pertanian.go.id/handle/123456789/7554?show=full</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szCs w:val="24"/>
        </w:rPr>
      </w:pPr>
      <w:r w:rsidRPr="0044044C">
        <w:rPr>
          <w:rFonts w:ascii="Arial" w:hAnsi="Arial" w:cs="Arial"/>
          <w:noProof/>
          <w:szCs w:val="24"/>
        </w:rPr>
        <w:t xml:space="preserve">Wahyuni, D., Purnastuti, L., &amp; Mustofa, M. (2016). Analisis Elastisitas Tiga Bahan Pangan Sumber Protein Hewani Di Indonesia. </w:t>
      </w:r>
      <w:r w:rsidRPr="0044044C">
        <w:rPr>
          <w:rFonts w:ascii="Arial" w:hAnsi="Arial" w:cs="Arial"/>
          <w:i/>
          <w:iCs/>
          <w:noProof/>
          <w:szCs w:val="24"/>
        </w:rPr>
        <w:t>Jurnal Economia</w:t>
      </w:r>
      <w:r w:rsidRPr="0044044C">
        <w:rPr>
          <w:rFonts w:ascii="Arial" w:hAnsi="Arial" w:cs="Arial"/>
          <w:noProof/>
          <w:szCs w:val="24"/>
        </w:rPr>
        <w:t xml:space="preserve">, </w:t>
      </w:r>
      <w:r w:rsidRPr="0044044C">
        <w:rPr>
          <w:rFonts w:ascii="Arial" w:hAnsi="Arial" w:cs="Arial"/>
          <w:i/>
          <w:iCs/>
          <w:noProof/>
          <w:szCs w:val="24"/>
        </w:rPr>
        <w:t>12</w:t>
      </w:r>
      <w:r w:rsidRPr="0044044C">
        <w:rPr>
          <w:rFonts w:ascii="Arial" w:hAnsi="Arial" w:cs="Arial"/>
          <w:noProof/>
          <w:szCs w:val="24"/>
        </w:rPr>
        <w:t>(1), 43. http://doi.org/10.21831/economia.v12i1.9544</w:t>
      </w:r>
    </w:p>
    <w:p w:rsidR="0044044C" w:rsidRPr="0044044C" w:rsidRDefault="0044044C" w:rsidP="00563D65">
      <w:pPr>
        <w:widowControl w:val="0"/>
        <w:autoSpaceDE w:val="0"/>
        <w:autoSpaceDN w:val="0"/>
        <w:adjustRightInd w:val="0"/>
        <w:spacing w:line="240" w:lineRule="auto"/>
        <w:ind w:left="709" w:hanging="709"/>
        <w:rPr>
          <w:rFonts w:ascii="Arial" w:hAnsi="Arial" w:cs="Arial"/>
          <w:noProof/>
        </w:rPr>
      </w:pPr>
      <w:r w:rsidRPr="0044044C">
        <w:rPr>
          <w:rFonts w:ascii="Arial" w:hAnsi="Arial" w:cs="Arial"/>
          <w:noProof/>
          <w:szCs w:val="24"/>
        </w:rPr>
        <w:t xml:space="preserve">Zhou, L., &amp; Turvey, C. G. (2015). Climate risk, income dynamics and nutrition intake in rural China. </w:t>
      </w:r>
      <w:r w:rsidRPr="0044044C">
        <w:rPr>
          <w:rFonts w:ascii="Arial" w:hAnsi="Arial" w:cs="Arial"/>
          <w:i/>
          <w:iCs/>
          <w:noProof/>
          <w:szCs w:val="24"/>
        </w:rPr>
        <w:t>China Agricultural Economic</w:t>
      </w:r>
      <w:r w:rsidRPr="0044044C">
        <w:rPr>
          <w:rFonts w:ascii="Arial" w:hAnsi="Arial" w:cs="Arial"/>
          <w:noProof/>
          <w:szCs w:val="24"/>
        </w:rPr>
        <w:t xml:space="preserve">, </w:t>
      </w:r>
      <w:r w:rsidRPr="0044044C">
        <w:rPr>
          <w:rFonts w:ascii="Arial" w:hAnsi="Arial" w:cs="Arial"/>
          <w:i/>
          <w:iCs/>
          <w:noProof/>
          <w:szCs w:val="24"/>
        </w:rPr>
        <w:t>7</w:t>
      </w:r>
      <w:r w:rsidRPr="0044044C">
        <w:rPr>
          <w:rFonts w:ascii="Arial" w:hAnsi="Arial" w:cs="Arial"/>
          <w:noProof/>
          <w:szCs w:val="24"/>
        </w:rPr>
        <w:t>(2), 197–220. http://doi.org/10.1108/CAER-09-2013-0131</w:t>
      </w:r>
    </w:p>
    <w:p w:rsidR="004A65AB" w:rsidRPr="00FE7384" w:rsidRDefault="00B94BBB" w:rsidP="00563D65">
      <w:pPr>
        <w:widowControl w:val="0"/>
        <w:autoSpaceDE w:val="0"/>
        <w:autoSpaceDN w:val="0"/>
        <w:adjustRightInd w:val="0"/>
        <w:spacing w:line="240" w:lineRule="auto"/>
        <w:ind w:left="709" w:hanging="709"/>
        <w:rPr>
          <w:rFonts w:ascii="Arial" w:hAnsi="Arial" w:cs="Arial"/>
          <w:b/>
          <w:bCs/>
          <w:color w:val="000000"/>
          <w:lang w:val="en-US"/>
        </w:rPr>
      </w:pPr>
      <w:r>
        <w:rPr>
          <w:rFonts w:ascii="Arial" w:hAnsi="Arial" w:cs="Arial"/>
          <w:color w:val="231F20"/>
          <w:lang w:val="en-US"/>
        </w:rPr>
        <w:fldChar w:fldCharType="end"/>
      </w:r>
      <w:r w:rsidR="004A65AB">
        <w:rPr>
          <w:rFonts w:ascii="Arial" w:hAnsi="Arial" w:cs="Arial"/>
          <w:b/>
          <w:bCs/>
          <w:color w:val="000000"/>
          <w:lang w:val="en-US"/>
        </w:rPr>
        <w:t>Lampiran 1</w:t>
      </w:r>
    </w:p>
    <w:p w:rsidR="004A65AB" w:rsidRPr="00FE7384" w:rsidRDefault="004A65AB" w:rsidP="004A65AB">
      <w:pPr>
        <w:spacing w:after="0" w:line="240" w:lineRule="auto"/>
        <w:jc w:val="center"/>
        <w:rPr>
          <w:rFonts w:ascii="Arial" w:hAnsi="Arial" w:cs="Arial"/>
          <w:b/>
          <w:bCs/>
          <w:color w:val="000000"/>
          <w:lang w:val="en-US"/>
        </w:rPr>
      </w:pPr>
      <w:r w:rsidRPr="00FE7384">
        <w:rPr>
          <w:rFonts w:ascii="Arial" w:hAnsi="Arial" w:cs="Arial"/>
          <w:b/>
          <w:bCs/>
          <w:color w:val="000000"/>
          <w:lang w:val="en-US"/>
        </w:rPr>
        <w:t>Nilai loading dan cross loading pada indikator PLS-SEM</w:t>
      </w:r>
    </w:p>
    <w:tbl>
      <w:tblPr>
        <w:tblStyle w:val="TableGrid"/>
        <w:tblW w:w="0" w:type="auto"/>
        <w:tblLook w:val="04A0"/>
      </w:tblPr>
      <w:tblGrid>
        <w:gridCol w:w="1363"/>
        <w:gridCol w:w="1154"/>
        <w:gridCol w:w="1138"/>
        <w:gridCol w:w="1100"/>
        <w:gridCol w:w="1149"/>
        <w:gridCol w:w="1125"/>
        <w:gridCol w:w="1125"/>
      </w:tblGrid>
      <w:tr w:rsidR="004A65AB" w:rsidRPr="004A65AB" w:rsidTr="00D6093B">
        <w:tc>
          <w:tcPr>
            <w:tcW w:w="1273" w:type="dxa"/>
          </w:tcPr>
          <w:p w:rsidR="004A65AB" w:rsidRPr="004A65AB" w:rsidRDefault="004A65AB" w:rsidP="00D6093B">
            <w:pPr>
              <w:spacing w:after="0" w:line="240" w:lineRule="auto"/>
              <w:jc w:val="center"/>
              <w:rPr>
                <w:rFonts w:ascii="Arial" w:hAnsi="Arial" w:cs="Arial"/>
                <w:bCs/>
                <w:color w:val="000000"/>
                <w:sz w:val="20"/>
                <w:szCs w:val="20"/>
                <w:lang w:val="en-US"/>
              </w:rPr>
            </w:pP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Usahatani</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NonFarm</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Belanja</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Konsumsi</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Jml_Kelg</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Jml_Kelg</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Luas_Ha</w:t>
            </w:r>
          </w:p>
        </w:tc>
        <w:tc>
          <w:tcPr>
            <w:tcW w:w="1160"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0.932</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0.035</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-0.533</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0.190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0.174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-0.088</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UT_RpMu</w:t>
            </w:r>
          </w:p>
        </w:tc>
        <w:tc>
          <w:tcPr>
            <w:tcW w:w="1160"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0.805</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-0.032</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0.491</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-0.175</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-0.160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0.081</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B_Tani</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-0.251</w:t>
            </w:r>
          </w:p>
        </w:tc>
        <w:tc>
          <w:tcPr>
            <w:tcW w:w="1152"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0.932</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-0.411</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0.494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0.062</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-0.148</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NonFarm</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0.264</w:t>
            </w:r>
          </w:p>
        </w:tc>
        <w:tc>
          <w:tcPr>
            <w:tcW w:w="1152"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0.991</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0.432</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-0.518</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-0.065</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0.155</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Beras_Mg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-0.021</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0.023</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0.510</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-0.587</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0.580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0.111</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Hewani_Mg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0.085</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0.294</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0.801</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0.284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0.235</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0.223</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Nabati_Mg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-0.137</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-0.298</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0.801</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0.081</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-0.278</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Sayur_Mg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-0.021</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-0.061</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0.635</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0.688</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-0.592</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-0.317</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Buah_Mg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-0.186</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0.256</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0.633</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0.943</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0.012</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Minyak_Mg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0.220</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-0.200</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0.832</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-0.329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-0.114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0.095</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Bumbu_Mg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-0.018</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0.298</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0.858</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-0.497</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0.033</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0.068</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Beras _Kg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-0.055</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0.079</w:t>
            </w:r>
          </w:p>
        </w:tc>
        <w:tc>
          <w:tcPr>
            <w:tcW w:w="1134"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0.578</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-0.071</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0.561</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0.120</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Hewani_Kg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-0.213</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-0.122</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-0.047</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0.759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0.474</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0.251</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Nabati_Sa</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0.180</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-0.114</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0.561</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0.701</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0.139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-0.272</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Sayur_Sa</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-0.112</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-0.198</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-0.012</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0.786</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-0.412</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-0.204</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Buah_Kg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0.010</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0.272</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-0.317</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0.760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0.123</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0.049</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Minyak_Lt</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0.486</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-0.004</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0.751</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0.569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0.212</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0.175</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Bumbu_K</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0.016</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0.133</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-0.175</w:t>
            </w:r>
          </w:p>
        </w:tc>
        <w:tc>
          <w:tcPr>
            <w:tcW w:w="1157"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0.833</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-0.475</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0.023</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0.000</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-0.000</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0.000</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-0.000</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1.000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-0.000</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Kelg*Beras</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0.188</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0.349</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0.073</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0.156</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0.339</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0.957</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Kelg*Hewani</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-0.202</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-0.024</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0.052</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0.261</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-0.191</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0.947</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Kelg*Nabati</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0.339</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0.134</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-0.046</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-0.390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0.465</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0.882</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Kelg*Sayur</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-0.007</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-0.130</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-0.642</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0.019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0.180</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0.694</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Kelg*Buah</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-0.114</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-0.180</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-0.456</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0.500</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-0.037</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0.902</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Kelg*Minyak</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0.207</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0.225</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0.280</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-0.285</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-0.074</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0.974</w:t>
            </w:r>
          </w:p>
        </w:tc>
      </w:tr>
      <w:tr w:rsidR="004A65AB" w:rsidRPr="004A65AB" w:rsidTr="00D6093B">
        <w:tc>
          <w:tcPr>
            <w:tcW w:w="1273" w:type="dxa"/>
          </w:tcPr>
          <w:p w:rsidR="004A65AB" w:rsidRPr="004A65AB" w:rsidRDefault="004A65AB" w:rsidP="00D6093B">
            <w:pPr>
              <w:spacing w:after="0" w:line="240" w:lineRule="auto"/>
              <w:rPr>
                <w:rFonts w:ascii="Arial" w:hAnsi="Arial" w:cs="Arial"/>
                <w:bCs/>
                <w:color w:val="000000"/>
                <w:sz w:val="20"/>
                <w:szCs w:val="20"/>
                <w:lang w:val="en-US"/>
              </w:rPr>
            </w:pPr>
            <w:r w:rsidRPr="004A65AB">
              <w:rPr>
                <w:rFonts w:ascii="Arial" w:hAnsi="Arial" w:cs="Arial"/>
                <w:bCs/>
                <w:color w:val="000000"/>
                <w:sz w:val="20"/>
                <w:szCs w:val="20"/>
                <w:lang w:val="en-US"/>
              </w:rPr>
              <w:t>Kelg*Bumbu</w:t>
            </w:r>
          </w:p>
        </w:tc>
        <w:tc>
          <w:tcPr>
            <w:tcW w:w="1160"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0.022</w:t>
            </w:r>
          </w:p>
        </w:tc>
        <w:tc>
          <w:tcPr>
            <w:tcW w:w="1152"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-0.270</w:t>
            </w:r>
          </w:p>
        </w:tc>
        <w:tc>
          <w:tcPr>
            <w:tcW w:w="1134"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0.354</w:t>
            </w:r>
          </w:p>
        </w:tc>
        <w:tc>
          <w:tcPr>
            <w:tcW w:w="1157"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-0.339</w:t>
            </w:r>
          </w:p>
        </w:tc>
        <w:tc>
          <w:tcPr>
            <w:tcW w:w="1139" w:type="dxa"/>
          </w:tcPr>
          <w:p w:rsidR="004A65AB" w:rsidRPr="004A65AB" w:rsidRDefault="004A65AB" w:rsidP="00D6093B">
            <w:pPr>
              <w:spacing w:after="0" w:line="240" w:lineRule="auto"/>
              <w:jc w:val="center"/>
              <w:rPr>
                <w:rFonts w:ascii="Arial" w:hAnsi="Arial" w:cs="Arial"/>
                <w:bCs/>
                <w:color w:val="000000"/>
                <w:sz w:val="20"/>
                <w:szCs w:val="20"/>
                <w:lang w:val="en-US"/>
              </w:rPr>
            </w:pPr>
            <w:r w:rsidRPr="004A65AB">
              <w:rPr>
                <w:rFonts w:ascii="Arial" w:hAnsi="Arial" w:cs="Arial"/>
                <w:bCs/>
                <w:color w:val="000000"/>
                <w:sz w:val="20"/>
                <w:szCs w:val="20"/>
                <w:lang w:val="en-US"/>
              </w:rPr>
              <w:t>-0.084</w:t>
            </w:r>
          </w:p>
        </w:tc>
        <w:tc>
          <w:tcPr>
            <w:tcW w:w="1139" w:type="dxa"/>
          </w:tcPr>
          <w:p w:rsidR="004A65AB" w:rsidRPr="004A65AB" w:rsidRDefault="004A65AB" w:rsidP="00D6093B">
            <w:pPr>
              <w:spacing w:after="0" w:line="240" w:lineRule="auto"/>
              <w:jc w:val="center"/>
              <w:rPr>
                <w:rFonts w:ascii="Arial" w:hAnsi="Arial" w:cs="Arial"/>
                <w:b/>
                <w:bCs/>
                <w:color w:val="000000"/>
                <w:sz w:val="20"/>
                <w:szCs w:val="20"/>
                <w:lang w:val="en-US"/>
              </w:rPr>
            </w:pPr>
            <w:r w:rsidRPr="004A65AB">
              <w:rPr>
                <w:rFonts w:ascii="Arial" w:hAnsi="Arial" w:cs="Arial"/>
                <w:b/>
                <w:bCs/>
                <w:color w:val="000000"/>
                <w:sz w:val="20"/>
                <w:szCs w:val="20"/>
                <w:lang w:val="en-US"/>
              </w:rPr>
              <w:t>0.885</w:t>
            </w:r>
          </w:p>
        </w:tc>
      </w:tr>
    </w:tbl>
    <w:p w:rsidR="004A65AB" w:rsidRDefault="004A65AB" w:rsidP="004A65AB">
      <w:pPr>
        <w:autoSpaceDE w:val="0"/>
        <w:autoSpaceDN w:val="0"/>
        <w:adjustRightInd w:val="0"/>
        <w:spacing w:after="0" w:line="240" w:lineRule="auto"/>
        <w:rPr>
          <w:rFonts w:ascii="Arial" w:hAnsi="Arial" w:cs="Arial"/>
          <w:lang w:val="en-US"/>
        </w:rPr>
      </w:pPr>
      <w:r>
        <w:rPr>
          <w:rFonts w:ascii="Arial" w:hAnsi="Arial" w:cs="Arial"/>
          <w:lang w:val="en-US"/>
        </w:rPr>
        <w:t>Sumber: Data Primer Diolah, 2019</w:t>
      </w:r>
    </w:p>
    <w:p w:rsidR="004A65AB" w:rsidRDefault="004A65AB" w:rsidP="0049361C">
      <w:pPr>
        <w:widowControl w:val="0"/>
        <w:autoSpaceDE w:val="0"/>
        <w:autoSpaceDN w:val="0"/>
        <w:adjustRightInd w:val="0"/>
        <w:spacing w:line="240" w:lineRule="auto"/>
        <w:rPr>
          <w:rFonts w:ascii="Arial" w:hAnsi="Arial" w:cs="Arial"/>
          <w:color w:val="231F20"/>
          <w:lang w:val="en-US"/>
        </w:rPr>
      </w:pPr>
    </w:p>
    <w:sectPr w:rsidR="004A65AB" w:rsidSect="006A68F2">
      <w:foot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6FF" w:rsidRDefault="009036FF" w:rsidP="00863192">
      <w:pPr>
        <w:spacing w:after="0" w:line="240" w:lineRule="auto"/>
      </w:pPr>
      <w:r>
        <w:separator/>
      </w:r>
    </w:p>
  </w:endnote>
  <w:endnote w:type="continuationSeparator" w:id="1">
    <w:p w:rsidR="009036FF" w:rsidRDefault="009036FF" w:rsidP="00863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Droid Sans Fallback">
    <w:altName w:val="MS Mincho"/>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958" w:rsidRPr="003D17F4" w:rsidRDefault="005E3958">
    <w:pPr>
      <w:pStyle w:val="Footer"/>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6FF" w:rsidRDefault="009036FF" w:rsidP="00863192">
      <w:pPr>
        <w:spacing w:after="0" w:line="240" w:lineRule="auto"/>
      </w:pPr>
      <w:r>
        <w:separator/>
      </w:r>
    </w:p>
  </w:footnote>
  <w:footnote w:type="continuationSeparator" w:id="1">
    <w:p w:rsidR="009036FF" w:rsidRDefault="009036FF" w:rsidP="00863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958" w:rsidRDefault="005E3958" w:rsidP="00863192">
    <w:pPr>
      <w:pStyle w:val="Header"/>
      <w:tabs>
        <w:tab w:val="clear" w:pos="4680"/>
        <w:tab w:val="clear" w:pos="9360"/>
      </w:tabs>
      <w:jc w:val="center"/>
      <w:rPr>
        <w:lang w:val="en-US"/>
      </w:rPr>
    </w:pPr>
  </w:p>
  <w:p w:rsidR="005E3958" w:rsidRPr="00863192" w:rsidRDefault="005E3958" w:rsidP="00627B16">
    <w:pPr>
      <w:pStyle w:val="Header"/>
      <w:rPr>
        <w:rFonts w:ascii="Arial" w:hAnsi="Arial" w:cs="Arial"/>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2BBD"/>
    <w:multiLevelType w:val="hybridMultilevel"/>
    <w:tmpl w:val="7F5C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A6BA3"/>
    <w:multiLevelType w:val="hybridMultilevel"/>
    <w:tmpl w:val="3B661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4C399D"/>
    <w:multiLevelType w:val="hybridMultilevel"/>
    <w:tmpl w:val="10D05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93C8A"/>
    <w:multiLevelType w:val="hybridMultilevel"/>
    <w:tmpl w:val="1AC67984"/>
    <w:lvl w:ilvl="0" w:tplc="42EA580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2542D0"/>
    <w:multiLevelType w:val="hybridMultilevel"/>
    <w:tmpl w:val="6C5C8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436059"/>
    <w:multiLevelType w:val="hybridMultilevel"/>
    <w:tmpl w:val="1492692E"/>
    <w:lvl w:ilvl="0" w:tplc="42EA580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hdrShapeDefaults>
    <o:shapedefaults v:ext="edit" spidmax="79874">
      <o:colormenu v:ext="edit" strokecolor="none"/>
    </o:shapedefaults>
  </w:hdrShapeDefaults>
  <w:footnotePr>
    <w:footnote w:id="0"/>
    <w:footnote w:id="1"/>
  </w:footnotePr>
  <w:endnotePr>
    <w:endnote w:id="0"/>
    <w:endnote w:id="1"/>
  </w:endnotePr>
  <w:compat/>
  <w:rsids>
    <w:rsidRoot w:val="00863192"/>
    <w:rsid w:val="000015F3"/>
    <w:rsid w:val="0002273E"/>
    <w:rsid w:val="00033FC5"/>
    <w:rsid w:val="000417C4"/>
    <w:rsid w:val="00042F5B"/>
    <w:rsid w:val="00046C47"/>
    <w:rsid w:val="00055888"/>
    <w:rsid w:val="000638EE"/>
    <w:rsid w:val="000965F6"/>
    <w:rsid w:val="000B1B7C"/>
    <w:rsid w:val="000B3B0E"/>
    <w:rsid w:val="000C711B"/>
    <w:rsid w:val="000D0B8F"/>
    <w:rsid w:val="000D3278"/>
    <w:rsid w:val="000D7714"/>
    <w:rsid w:val="000E2881"/>
    <w:rsid w:val="000E38D2"/>
    <w:rsid w:val="00113F2E"/>
    <w:rsid w:val="00115B1E"/>
    <w:rsid w:val="00117002"/>
    <w:rsid w:val="001222AA"/>
    <w:rsid w:val="00124517"/>
    <w:rsid w:val="00126BF8"/>
    <w:rsid w:val="00135169"/>
    <w:rsid w:val="00151908"/>
    <w:rsid w:val="00164473"/>
    <w:rsid w:val="001A5F40"/>
    <w:rsid w:val="001B65B7"/>
    <w:rsid w:val="001C790C"/>
    <w:rsid w:val="001E0383"/>
    <w:rsid w:val="00206D8A"/>
    <w:rsid w:val="00213E29"/>
    <w:rsid w:val="00216D38"/>
    <w:rsid w:val="002377C0"/>
    <w:rsid w:val="00254039"/>
    <w:rsid w:val="00255C9E"/>
    <w:rsid w:val="002678F3"/>
    <w:rsid w:val="00271992"/>
    <w:rsid w:val="00275950"/>
    <w:rsid w:val="0027611A"/>
    <w:rsid w:val="00277FCD"/>
    <w:rsid w:val="002B20F9"/>
    <w:rsid w:val="002D3110"/>
    <w:rsid w:val="002E6346"/>
    <w:rsid w:val="003026C4"/>
    <w:rsid w:val="003048BA"/>
    <w:rsid w:val="00304C5C"/>
    <w:rsid w:val="00327AC2"/>
    <w:rsid w:val="003373C5"/>
    <w:rsid w:val="00342111"/>
    <w:rsid w:val="00345930"/>
    <w:rsid w:val="00347DAB"/>
    <w:rsid w:val="00350414"/>
    <w:rsid w:val="003509FA"/>
    <w:rsid w:val="00353FD3"/>
    <w:rsid w:val="00362754"/>
    <w:rsid w:val="00377C91"/>
    <w:rsid w:val="00393294"/>
    <w:rsid w:val="003A4508"/>
    <w:rsid w:val="003A4C94"/>
    <w:rsid w:val="003B0159"/>
    <w:rsid w:val="003B0AE0"/>
    <w:rsid w:val="003C0103"/>
    <w:rsid w:val="003C66BC"/>
    <w:rsid w:val="003D17F4"/>
    <w:rsid w:val="003D73A6"/>
    <w:rsid w:val="003E228E"/>
    <w:rsid w:val="003E73D1"/>
    <w:rsid w:val="003F42E7"/>
    <w:rsid w:val="003F6353"/>
    <w:rsid w:val="00416CF1"/>
    <w:rsid w:val="00420210"/>
    <w:rsid w:val="00431C36"/>
    <w:rsid w:val="00435537"/>
    <w:rsid w:val="0044044C"/>
    <w:rsid w:val="0044100B"/>
    <w:rsid w:val="0044466F"/>
    <w:rsid w:val="00452E6A"/>
    <w:rsid w:val="00457662"/>
    <w:rsid w:val="00471077"/>
    <w:rsid w:val="0047533F"/>
    <w:rsid w:val="0049361C"/>
    <w:rsid w:val="004A20CB"/>
    <w:rsid w:val="004A65AB"/>
    <w:rsid w:val="004A723E"/>
    <w:rsid w:val="004D290E"/>
    <w:rsid w:val="004F445E"/>
    <w:rsid w:val="004F6385"/>
    <w:rsid w:val="005129D5"/>
    <w:rsid w:val="00512A9F"/>
    <w:rsid w:val="00516083"/>
    <w:rsid w:val="005216DF"/>
    <w:rsid w:val="00533628"/>
    <w:rsid w:val="0054317B"/>
    <w:rsid w:val="005438EB"/>
    <w:rsid w:val="0055048E"/>
    <w:rsid w:val="00551664"/>
    <w:rsid w:val="00552ACF"/>
    <w:rsid w:val="00563D65"/>
    <w:rsid w:val="00566B30"/>
    <w:rsid w:val="00567035"/>
    <w:rsid w:val="00570DCE"/>
    <w:rsid w:val="00575F7C"/>
    <w:rsid w:val="00587E06"/>
    <w:rsid w:val="005A151C"/>
    <w:rsid w:val="005A3AC0"/>
    <w:rsid w:val="005A5E5F"/>
    <w:rsid w:val="005C295F"/>
    <w:rsid w:val="005C6245"/>
    <w:rsid w:val="005D01F2"/>
    <w:rsid w:val="005E1F42"/>
    <w:rsid w:val="005E3958"/>
    <w:rsid w:val="005F0A3A"/>
    <w:rsid w:val="00601A9F"/>
    <w:rsid w:val="00613E95"/>
    <w:rsid w:val="00627B16"/>
    <w:rsid w:val="00640767"/>
    <w:rsid w:val="006442D1"/>
    <w:rsid w:val="00662175"/>
    <w:rsid w:val="00666160"/>
    <w:rsid w:val="006714AE"/>
    <w:rsid w:val="006734CE"/>
    <w:rsid w:val="00684DCA"/>
    <w:rsid w:val="006917A9"/>
    <w:rsid w:val="006A68F2"/>
    <w:rsid w:val="006B5332"/>
    <w:rsid w:val="006C1638"/>
    <w:rsid w:val="006C72E0"/>
    <w:rsid w:val="006D18AD"/>
    <w:rsid w:val="006D1CA3"/>
    <w:rsid w:val="006D4142"/>
    <w:rsid w:val="006D5063"/>
    <w:rsid w:val="006E0ED7"/>
    <w:rsid w:val="006E75DC"/>
    <w:rsid w:val="006F4595"/>
    <w:rsid w:val="0070607C"/>
    <w:rsid w:val="00717A22"/>
    <w:rsid w:val="0072051E"/>
    <w:rsid w:val="0073249C"/>
    <w:rsid w:val="00734880"/>
    <w:rsid w:val="0073660B"/>
    <w:rsid w:val="00741EA7"/>
    <w:rsid w:val="00750D36"/>
    <w:rsid w:val="0075226B"/>
    <w:rsid w:val="00763E3A"/>
    <w:rsid w:val="00767747"/>
    <w:rsid w:val="00775768"/>
    <w:rsid w:val="00783F42"/>
    <w:rsid w:val="00793E2F"/>
    <w:rsid w:val="007953FF"/>
    <w:rsid w:val="00797C97"/>
    <w:rsid w:val="007A03D1"/>
    <w:rsid w:val="007A56D8"/>
    <w:rsid w:val="007B7D87"/>
    <w:rsid w:val="007C7708"/>
    <w:rsid w:val="007D6314"/>
    <w:rsid w:val="007D7A3A"/>
    <w:rsid w:val="007E3913"/>
    <w:rsid w:val="007F73DF"/>
    <w:rsid w:val="008229C3"/>
    <w:rsid w:val="00832658"/>
    <w:rsid w:val="00863192"/>
    <w:rsid w:val="008675DA"/>
    <w:rsid w:val="008700A8"/>
    <w:rsid w:val="008840AE"/>
    <w:rsid w:val="00892DDA"/>
    <w:rsid w:val="008B73BB"/>
    <w:rsid w:val="008C701F"/>
    <w:rsid w:val="008D73CF"/>
    <w:rsid w:val="008E65D4"/>
    <w:rsid w:val="00900D4A"/>
    <w:rsid w:val="009036FF"/>
    <w:rsid w:val="009578EB"/>
    <w:rsid w:val="00961DF8"/>
    <w:rsid w:val="00976D37"/>
    <w:rsid w:val="009861C6"/>
    <w:rsid w:val="00991778"/>
    <w:rsid w:val="009A64F5"/>
    <w:rsid w:val="009B2351"/>
    <w:rsid w:val="009B25A7"/>
    <w:rsid w:val="009B7DF8"/>
    <w:rsid w:val="009C624B"/>
    <w:rsid w:val="009D2C83"/>
    <w:rsid w:val="009F0F01"/>
    <w:rsid w:val="009F63D2"/>
    <w:rsid w:val="00A01CE7"/>
    <w:rsid w:val="00A03034"/>
    <w:rsid w:val="00A145BE"/>
    <w:rsid w:val="00A34BD8"/>
    <w:rsid w:val="00A41BC0"/>
    <w:rsid w:val="00A66DA4"/>
    <w:rsid w:val="00A92164"/>
    <w:rsid w:val="00AA1629"/>
    <w:rsid w:val="00AB48F9"/>
    <w:rsid w:val="00AD1F15"/>
    <w:rsid w:val="00AF46C3"/>
    <w:rsid w:val="00AF5A0C"/>
    <w:rsid w:val="00B11273"/>
    <w:rsid w:val="00B154DF"/>
    <w:rsid w:val="00B26BB3"/>
    <w:rsid w:val="00B363E3"/>
    <w:rsid w:val="00B821DE"/>
    <w:rsid w:val="00B87CA4"/>
    <w:rsid w:val="00B94BBB"/>
    <w:rsid w:val="00BA1017"/>
    <w:rsid w:val="00BA18EA"/>
    <w:rsid w:val="00BA4D5F"/>
    <w:rsid w:val="00BA7DC9"/>
    <w:rsid w:val="00BC08DC"/>
    <w:rsid w:val="00BC2394"/>
    <w:rsid w:val="00BC25D2"/>
    <w:rsid w:val="00BC6114"/>
    <w:rsid w:val="00BE2800"/>
    <w:rsid w:val="00BE3BD6"/>
    <w:rsid w:val="00BF3685"/>
    <w:rsid w:val="00C142F1"/>
    <w:rsid w:val="00C32D6F"/>
    <w:rsid w:val="00C440CC"/>
    <w:rsid w:val="00C645DE"/>
    <w:rsid w:val="00C663FF"/>
    <w:rsid w:val="00C8415E"/>
    <w:rsid w:val="00C93444"/>
    <w:rsid w:val="00CA4DE6"/>
    <w:rsid w:val="00CA5492"/>
    <w:rsid w:val="00CA6420"/>
    <w:rsid w:val="00CB5565"/>
    <w:rsid w:val="00CB5687"/>
    <w:rsid w:val="00CB5C89"/>
    <w:rsid w:val="00CD49A5"/>
    <w:rsid w:val="00D024DB"/>
    <w:rsid w:val="00D05BDC"/>
    <w:rsid w:val="00D10BA9"/>
    <w:rsid w:val="00D34CA3"/>
    <w:rsid w:val="00D6093B"/>
    <w:rsid w:val="00D60A4E"/>
    <w:rsid w:val="00D62AD4"/>
    <w:rsid w:val="00D83A42"/>
    <w:rsid w:val="00DC05A3"/>
    <w:rsid w:val="00DE5AB2"/>
    <w:rsid w:val="00DE77E9"/>
    <w:rsid w:val="00E110B1"/>
    <w:rsid w:val="00E360AE"/>
    <w:rsid w:val="00E517B8"/>
    <w:rsid w:val="00E525A8"/>
    <w:rsid w:val="00E57C8C"/>
    <w:rsid w:val="00E64414"/>
    <w:rsid w:val="00E94E05"/>
    <w:rsid w:val="00EA050B"/>
    <w:rsid w:val="00EA6346"/>
    <w:rsid w:val="00EA7727"/>
    <w:rsid w:val="00EB1627"/>
    <w:rsid w:val="00EE34D3"/>
    <w:rsid w:val="00F05E25"/>
    <w:rsid w:val="00F240FB"/>
    <w:rsid w:val="00F24507"/>
    <w:rsid w:val="00F37548"/>
    <w:rsid w:val="00F43B97"/>
    <w:rsid w:val="00F45ACA"/>
    <w:rsid w:val="00F46CC8"/>
    <w:rsid w:val="00F72955"/>
    <w:rsid w:val="00F8521F"/>
    <w:rsid w:val="00F86355"/>
    <w:rsid w:val="00F945D7"/>
    <w:rsid w:val="00F97365"/>
    <w:rsid w:val="00FB6B7C"/>
    <w:rsid w:val="00FD070B"/>
    <w:rsid w:val="00FD5648"/>
    <w:rsid w:val="00FE02AB"/>
    <w:rsid w:val="00FE4A05"/>
    <w:rsid w:val="00FE7384"/>
    <w:rsid w:val="00FF0660"/>
    <w:rsid w:val="00FF3A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192"/>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3192"/>
    <w:rPr>
      <w:color w:val="0000FF"/>
      <w:u w:val="single"/>
    </w:rPr>
  </w:style>
  <w:style w:type="paragraph" w:styleId="Header">
    <w:name w:val="header"/>
    <w:basedOn w:val="Normal"/>
    <w:link w:val="HeaderChar"/>
    <w:uiPriority w:val="99"/>
    <w:unhideWhenUsed/>
    <w:rsid w:val="0086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192"/>
    <w:rPr>
      <w:rFonts w:ascii="Calibri" w:eastAsia="Calibri" w:hAnsi="Calibri" w:cs="Times New Roman"/>
      <w:lang w:val="id-ID"/>
    </w:rPr>
  </w:style>
  <w:style w:type="paragraph" w:styleId="Footer">
    <w:name w:val="footer"/>
    <w:basedOn w:val="Normal"/>
    <w:link w:val="FooterChar"/>
    <w:uiPriority w:val="99"/>
    <w:semiHidden/>
    <w:unhideWhenUsed/>
    <w:rsid w:val="008631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3192"/>
    <w:rPr>
      <w:rFonts w:ascii="Calibri" w:eastAsia="Calibri" w:hAnsi="Calibri" w:cs="Times New Roman"/>
      <w:lang w:val="id-ID"/>
    </w:rPr>
  </w:style>
  <w:style w:type="paragraph" w:styleId="BalloonText">
    <w:name w:val="Balloon Text"/>
    <w:basedOn w:val="Normal"/>
    <w:link w:val="BalloonTextChar"/>
    <w:uiPriority w:val="99"/>
    <w:semiHidden/>
    <w:unhideWhenUsed/>
    <w:rsid w:val="00863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92"/>
    <w:rPr>
      <w:rFonts w:ascii="Tahoma" w:eastAsia="Calibri" w:hAnsi="Tahoma" w:cs="Tahoma"/>
      <w:sz w:val="16"/>
      <w:szCs w:val="16"/>
      <w:lang w:val="id-ID"/>
    </w:rPr>
  </w:style>
  <w:style w:type="paragraph" w:styleId="NoSpacing">
    <w:name w:val="No Spacing"/>
    <w:uiPriority w:val="1"/>
    <w:qFormat/>
    <w:rsid w:val="0027611A"/>
    <w:pPr>
      <w:widowControl w:val="0"/>
      <w:suppressAutoHyphens/>
    </w:pPr>
    <w:rPr>
      <w:rFonts w:ascii="Times New Roman" w:eastAsia="Droid Sans Fallback" w:hAnsi="Times New Roman" w:cs="Mangal"/>
      <w:kern w:val="1"/>
      <w:sz w:val="24"/>
      <w:szCs w:val="21"/>
      <w:lang w:eastAsia="hi-IN" w:bidi="hi-IN"/>
    </w:rPr>
  </w:style>
  <w:style w:type="paragraph" w:styleId="ListParagraph">
    <w:name w:val="List Paragraph"/>
    <w:basedOn w:val="Normal"/>
    <w:uiPriority w:val="34"/>
    <w:qFormat/>
    <w:rsid w:val="0027611A"/>
    <w:pPr>
      <w:ind w:left="720"/>
      <w:contextualSpacing/>
    </w:pPr>
  </w:style>
  <w:style w:type="table" w:styleId="TableGrid">
    <w:name w:val="Table Grid"/>
    <w:basedOn w:val="TableNormal"/>
    <w:uiPriority w:val="59"/>
    <w:rsid w:val="00F2450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233073">
      <w:bodyDiv w:val="1"/>
      <w:marLeft w:val="0"/>
      <w:marRight w:val="0"/>
      <w:marTop w:val="0"/>
      <w:marBottom w:val="0"/>
      <w:divBdr>
        <w:top w:val="none" w:sz="0" w:space="0" w:color="auto"/>
        <w:left w:val="none" w:sz="0" w:space="0" w:color="auto"/>
        <w:bottom w:val="none" w:sz="0" w:space="0" w:color="auto"/>
        <w:right w:val="none" w:sz="0" w:space="0" w:color="auto"/>
      </w:divBdr>
    </w:div>
    <w:div w:id="635258079">
      <w:bodyDiv w:val="1"/>
      <w:marLeft w:val="0"/>
      <w:marRight w:val="0"/>
      <w:marTop w:val="0"/>
      <w:marBottom w:val="0"/>
      <w:divBdr>
        <w:top w:val="none" w:sz="0" w:space="0" w:color="auto"/>
        <w:left w:val="none" w:sz="0" w:space="0" w:color="auto"/>
        <w:bottom w:val="none" w:sz="0" w:space="0" w:color="auto"/>
        <w:right w:val="none" w:sz="0" w:space="0" w:color="auto"/>
      </w:divBdr>
    </w:div>
    <w:div w:id="1367827459">
      <w:bodyDiv w:val="1"/>
      <w:marLeft w:val="0"/>
      <w:marRight w:val="0"/>
      <w:marTop w:val="0"/>
      <w:marBottom w:val="0"/>
      <w:divBdr>
        <w:top w:val="none" w:sz="0" w:space="0" w:color="auto"/>
        <w:left w:val="none" w:sz="0" w:space="0" w:color="auto"/>
        <w:bottom w:val="none" w:sz="0" w:space="0" w:color="auto"/>
        <w:right w:val="none" w:sz="0" w:space="0" w:color="auto"/>
      </w:divBdr>
    </w:div>
    <w:div w:id="187557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97CB-48D2-42CD-AA8C-AD2EC39B4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15</Pages>
  <Words>21101</Words>
  <Characters>120277</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UMARAGB</dc:creator>
  <cp:lastModifiedBy>user</cp:lastModifiedBy>
  <cp:revision>51</cp:revision>
  <dcterms:created xsi:type="dcterms:W3CDTF">2021-05-03T00:26:00Z</dcterms:created>
  <dcterms:modified xsi:type="dcterms:W3CDTF">2021-05-10T01:10:00Z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2180914c-e9aa-32e7-925d-35102afa5a1c</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Harvard - Cite Them Right 9th edition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